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lang w:val="pl-PL"/>
        </w:rPr>
        <w:t>UMOWA SERWISOWA nr AS/2026/0917</w:t>
      </w:r>
    </w:p>
    <w:p>
      <w:pPr>
        <w:jc w:val="center"/>
      </w:pPr>
      <w:r>
        <w:rPr>
          <w:lang w:val="pl-PL"/>
        </w:rPr>
        <w:t>zawarta w dniu 17 września 2026 roku w Warszawie</w:t>
      </w:r>
    </w:p>
    <w:p>
      <w:pPr>
        <w:pStyle w:val="Heading1"/>
      </w:pPr>
      <w:r>
        <w:rPr>
          <w:lang w:val="pl-PL"/>
        </w:rPr>
        <w:t>§ 1. Strony umowy i definicje</w:t>
      </w:r>
    </w:p>
    <w:p>
      <w:r>
        <w:rPr>
          <w:lang w:val="pl-PL"/>
        </w:rPr>
        <w:t>1. Umowa serwisowa nr AS/2026/0917 zawarta w dniu 17 września 2026 roku w Warszawie pomiędzy: Nordvent Spółka z ograniczoną odpowiedzialnością z siedzibą w Warszawie przy ulicy Chłodnej 51, wpisaną do rejestru przedsiębiorców Krajowego Rejestru Sądowego pod numerem 0000418823, NIP 527-118-44-02, reprezentowaną przez Martę Wiśniewską, Dyrektor Operacyjną, zwaną dalej Zamawiającym,</w:t>
      </w:r>
    </w:p>
    <w:p>
      <w:r>
        <w:rPr>
          <w:lang w:val="pl-PL"/>
        </w:rPr>
        <w:t>2. a Altebrix Systems Spółka z ograniczoną odpowiedzialnością z siedzibą w Poznaniu przy ulicy Głogowskiej 218, wpisaną do rejestru przedsiębiorców Krajowego Rejestru Sądowego pod numerem 0000502117, NIP 779-241-63-18, reprezentowaną przez Pawła Górskiego, Członka Zarządu, zwaną dalej Wykonawcą.</w:t>
      </w:r>
    </w:p>
    <w:p>
      <w:r>
        <w:rPr>
          <w:lang w:val="pl-PL"/>
        </w:rPr>
        <w:t>3. Ilekroć w niniejszej umowie mowa jest o Systemie, rozumie się przez to zespół urządzeń pomiarowych, oprogramowania sterującego oraz infrastruktury sieciowej wskazanych w Załączniku nr 1, objętych obsługą serwisową na warunkach określonych poniżej.</w:t>
      </w:r>
    </w:p>
    <w:p>
      <w:r>
        <w:rPr>
          <w:lang w:val="pl-PL"/>
        </w:rPr>
        <w:t>4. Ilekroć mowa jest o Awarii Krytycznej, rozumie się przez to stan, w którym System lub jego istotna część pozostaje niedostępny dla użytkowników albo generuje odczyty obarczone błędem uniemożliwiającym prowadzenie ruchu produkcyjnego.</w:t>
      </w:r>
    </w:p>
    <w:p>
      <w:r>
        <w:rPr>
          <w:lang w:val="pl-PL"/>
        </w:rPr>
        <w:t>5. Ilekroć mowa jest o Awarii Zwykłej, rozumie się przez to nieprawidłowość ograniczającą funkcjonalność Systemu, która nie powoduje jego całkowitej niedostępności ani nie uniemożliwia prowadzenia ruchu produkcyjnego.</w:t>
      </w:r>
    </w:p>
    <w:p>
      <w:r>
        <w:rPr>
          <w:lang w:val="pl-PL"/>
        </w:rPr>
        <w:t>6. Ilekroć mowa jest o Oknie Serwisowym, rozumie się przez to przedział czasowy uzgodniony przez Strony, w którym Wykonawca uprawniony jest do prowadzenia prac wymagających wyłączenia Systemu lub jego części.</w:t>
      </w:r>
    </w:p>
    <w:p>
      <w:pPr>
        <w:pStyle w:val="Heading1"/>
      </w:pPr>
      <w:r>
        <w:rPr>
          <w:lang w:val="pl-PL"/>
        </w:rPr>
        <w:t>§ 2. Przedmiot umowy</w:t>
      </w:r>
    </w:p>
    <w:p>
      <w:r>
        <w:rPr>
          <w:lang w:val="pl-PL"/>
        </w:rPr>
        <w:t>1. Wykonawca zobowiązuje się do świadczenia na rzecz Zamawiającego usług serwisowych obejmujących utrzymanie Systemu w gotowości eksploatacyjnej, usuwanie awarii, wykonywanie przeglądów okresowych oraz świadczenie wsparcia technicznego na zasadach określonych w niniejszej umowie.</w:t>
      </w:r>
    </w:p>
    <w:p>
      <w:r>
        <w:rPr>
          <w:lang w:val="pl-PL"/>
        </w:rPr>
        <w:t>2. Zakres usług serwisowych obejmuje: przeglądy okresowe wykonywane raz na kwartał kalendarzowy, usuwanie Awarii Krytycznych i Awarii Zwykłych w terminach określonych w § 5, wsparcie techniczne świadczone w dni robocze w godzinach od 8:00 do 16:00, aktualizacje oprogramowania sterującego wydane przez producenta oraz prowadzenie dokumentacji serwisowej.</w:t>
      </w:r>
    </w:p>
    <w:p>
      <w:r>
        <w:rPr>
          <w:lang w:val="pl-PL"/>
        </w:rPr>
        <w:t>3. Zakres usług serwisowych nie obejmuje: rozbudowy Systemu o nowe urządzenia lub moduły, integracji z systemami zewnętrznymi nieujętymi w Załączniku nr 1, szkoleń personelu Zamawiającego wykraczających poza jedno szkolenie wdrożeniowe, migracji danych oraz prac wynikających z uszkodzeń powstałych z przyczyn leżących po stronie Zamawiającego.</w:t>
      </w:r>
    </w:p>
    <w:p>
      <w:r>
        <w:rPr>
          <w:lang w:val="pl-PL"/>
        </w:rPr>
        <w:t>4. Prace wykraczające poza zakres określony w ustępie 2 realizowane są na podstawie odrębnego zlecenia, według stawki godzinowej wskazanej w § 6 ustęp 4.</w:t>
      </w:r>
    </w:p>
    <w:p>
      <w:pPr>
        <w:pStyle w:val="Heading1"/>
      </w:pPr>
      <w:r>
        <w:rPr>
          <w:lang w:val="pl-PL"/>
        </w:rPr>
        <w:t>§ 3. Termin obowiązywania umowy</w:t>
      </w:r>
    </w:p>
    <w:p>
      <w:r>
        <w:rPr>
          <w:lang w:val="pl-PL"/>
        </w:rPr>
        <w:t>1. Umowa zostaje zawarta na okres dwudziestu czterech miesięcy, licząc od dnia 1 października 2026 roku.</w:t>
      </w:r>
    </w:p>
    <w:p>
      <w:r>
        <w:rPr>
          <w:lang w:val="pl-PL"/>
        </w:rPr>
        <w:t>2. Umowa ulega automatycznemu przedłużeniu na kolejne okresy dwunastomiesięczne, jeżeli żadna ze Stron nie złoży oświadczenia o braku woli jej przedłużenia najpóźniej na sto dwadzieścia dni przed upływem okresu, na jaki została zawarta. Oświadczenie wymaga formy pisemnej pod rygorem nieważności.</w:t>
      </w:r>
    </w:p>
    <w:p>
      <w:r>
        <w:rPr>
          <w:lang w:val="pl-PL"/>
        </w:rPr>
        <w:t>3. Zamawiającemu przysługuje prawo wypowiedzenia umowy z zachowaniem sześciomiesięcznego okresu wypowiedzenia, ze skutkiem na koniec miesiąca kalendarzowego.</w:t>
      </w:r>
    </w:p>
    <w:p>
      <w:r>
        <w:rPr>
          <w:lang w:val="pl-PL"/>
        </w:rPr>
        <w:t>4. Wykonawcy przysługuje prawo wypowiedzenia umowy z zachowaniem trzydziestodniowego okresu wypowiedzenia, ze skutkiem na koniec miesiąca kalendarzowego.</w:t>
      </w:r>
    </w:p>
    <w:p>
      <w:pPr>
        <w:pStyle w:val="Heading1"/>
      </w:pPr>
      <w:r>
        <w:rPr>
          <w:lang w:val="pl-PL"/>
        </w:rPr>
        <w:t>§ 4. Obowiązki Zamawiającego</w:t>
      </w:r>
    </w:p>
    <w:p>
      <w:r>
        <w:rPr>
          <w:lang w:val="pl-PL"/>
        </w:rPr>
        <w:t>1. Zamawiający zobowiązuje się zapewnić Wykonawcy dostęp do Systemu oraz do pomieszczeń, w których System jest zainstalowany, w terminie nie dłuższym niż cztery godziny od zgłoszenia takiej potrzeby przez Wykonawcę.</w:t>
      </w:r>
    </w:p>
    <w:p>
      <w:r>
        <w:rPr>
          <w:lang w:val="pl-PL"/>
        </w:rPr>
        <w:t>2. Zamawiający zobowiązuje się wyznaczyć osobę uprawnioną do kontaktów roboczych oraz do podejmowania decyzji w sprawach bieżącej eksploatacji Systemu, a także poinformować Wykonawcę o każdej zmianie tej osoby w terminie trzech dni roboczych.</w:t>
      </w:r>
    </w:p>
    <w:p>
      <w:r>
        <w:rPr>
          <w:lang w:val="pl-PL"/>
        </w:rPr>
        <w:t>3. Zamawiający zobowiązuje się zgłaszać awarie wyłącznie za pośrednictwem portalu zgłoszeniowego Wykonawcy. Zgłoszenia przekazane telefonicznie, pocztą elektroniczną lub w innej formie nie są objęte terminami reakcji określonymi w § 5 i traktowane są jako zgłoszenia informacyjne.</w:t>
      </w:r>
    </w:p>
    <w:p>
      <w:r>
        <w:rPr>
          <w:lang w:val="pl-PL"/>
        </w:rPr>
        <w:t>4. Zamawiający zobowiązuje się do prowadzenia eksploatacji Systemu zgodnie z dokumentacją techniczną producenta oraz do niepodejmowania samodzielnych ingerencji w konfigurację Systemu bez uprzedniej pisemnej zgody Wykonawcy.</w:t>
      </w:r>
    </w:p>
    <w:p>
      <w:r>
        <w:rPr>
          <w:lang w:val="pl-PL"/>
        </w:rPr>
        <w:t>5. Naruszenie obowiązku określonego w ustępie 4 skutkuje utratą uprawnień gwarancyjnych w zakresie objętym ingerencją oraz zwalnia Wykonawcę z odpowiedzialności za skutki takiej ingerencji.</w:t>
      </w:r>
    </w:p>
    <w:p>
      <w:pPr>
        <w:pStyle w:val="Heading1"/>
      </w:pPr>
      <w:r>
        <w:rPr>
          <w:lang w:val="pl-PL"/>
        </w:rPr>
        <w:t>§ 5. Poziom świadczenia usług i terminy reakcji</w:t>
      </w:r>
    </w:p>
    <w:p>
      <w:r>
        <w:rPr>
          <w:lang w:val="pl-PL"/>
        </w:rPr>
        <w:t>1. Wykonawca zobowiązuje się przystąpić do usuwania Awarii Krytycznej w terminie czterech godzin roboczych od chwili przyjęcia prawidłowo złożonego zgłoszenia, oraz usunąć taką awarię w terminie dwudziestu czterech godzin roboczych.</w:t>
      </w:r>
    </w:p>
    <w:p>
      <w:r>
        <w:rPr>
          <w:lang w:val="pl-PL"/>
        </w:rPr>
        <w:t>2. Wykonawca zobowiązuje się przystąpić do usuwania Awarii Zwykłej w terminie szesnastu godzin roboczych od chwili przyjęcia prawidłowo złożonego zgłoszenia, oraz usunąć taką awarię w terminie pięciu dni roboczych.</w:t>
      </w:r>
    </w:p>
    <w:p>
      <w:r>
        <w:rPr>
          <w:lang w:val="pl-PL"/>
        </w:rPr>
        <w:t>3. Za godziny robocze uważa się godziny od 8:00 do 16:00 w dni robocze, z wyłączeniem sobót, niedziel i dni ustawowo wolnych od pracy.</w:t>
      </w:r>
    </w:p>
    <w:p>
      <w:r>
        <w:rPr>
          <w:lang w:val="pl-PL"/>
        </w:rPr>
        <w:t>4. Bieg terminów określonych w ustępach 1 i 2 ulega zawieszeniu na czas oczekiwania Wykonawcy na informacje, dostęp lub decyzje, do których udzielenia zobowiązany jest Zamawiający, a także na czas trwania Okna Serwisowego.</w:t>
      </w:r>
    </w:p>
    <w:p>
      <w:r>
        <w:rPr>
          <w:lang w:val="pl-PL"/>
        </w:rPr>
        <w:t>5. Terminy określone w ustępach 1 i 2 nie mają zastosowania do awarii, których przyczyna leży poza Systemem, w szczególności wynikających z przerw w dostawie energii elektrycznej, awarii łączy telekomunikacyjnych, działania oprogramowania osób trzecich oraz zdarzeń o charakterze siły wyższej.</w:t>
      </w:r>
    </w:p>
    <w:p>
      <w:r>
        <w:rPr>
          <w:lang w:val="pl-PL"/>
        </w:rPr>
        <w:t>6. Wykonawca zobowiązuje się utrzymać dostępność Systemu na poziomie nie niższym niż 97,5 procent w miesięcznym okresie rozliczeniowym. Do czasu niedostępności nie wlicza się czasu trwania Okna Serwisowego, przerw wskazanych w ustępie 5 oraz czasu zawieszenia biegu terminów zgodnie z ustępem 4.</w:t>
      </w:r>
    </w:p>
    <w:p>
      <w:pPr>
        <w:pStyle w:val="Heading1"/>
      </w:pPr>
      <w:r>
        <w:rPr>
          <w:lang w:val="pl-PL"/>
        </w:rPr>
        <w:t>§ 6. Wynagrodzenie i warunki płatności</w:t>
      </w:r>
    </w:p>
    <w:p>
      <w:r>
        <w:rPr>
          <w:lang w:val="pl-PL"/>
        </w:rPr>
        <w:t>1. Z tytułu świadczenia usług objętych § 2 ustęp 2 Zamawiający zapłaci Wykonawcy wynagrodzenie ryczałtowe w wysokości 18 400,00 złotych netto miesięcznie, powiększone o należny podatek od towarów i usług.</w:t>
      </w:r>
    </w:p>
    <w:p>
      <w:r>
        <w:rPr>
          <w:lang w:val="pl-PL"/>
        </w:rPr>
        <w:t>2. Wynagrodzenie płatne jest z góry, na podstawie faktury wystawionej do piątego dnia każdego miesiąca, w terminie czternastu dni od dnia doręczenia faktury.</w:t>
      </w:r>
    </w:p>
    <w:p>
      <w:r>
        <w:rPr>
          <w:lang w:val="pl-PL"/>
        </w:rPr>
        <w:t>3. Wynagrodzenie podlega corocznej waloryzacji o wskaźnik cen towarów i usług konsumpcyjnych ogłaszany przez Główny Urząd Statystyczny za rok poprzedni, powiększony o trzy punkty procentowe. Waloryzacja następuje jednostronnym oświadczeniem Wykonawcy i nie wymaga zawarcia aneksu. Pierwsza waloryzacja nastąpi ze skutkiem od dnia 1 stycznia 2028 roku.</w:t>
      </w:r>
    </w:p>
    <w:p>
      <w:r>
        <w:rPr>
          <w:lang w:val="pl-PL"/>
        </w:rPr>
        <w:t>4. Prace wykraczające poza zakres umowy rozliczane są według stawki 290,00 złotych netto za każdą rozpoczętą godzinę pracy specjalisty. Do czasu pracy wlicza się czas dojazdu do siedziby Zamawiającego, liczony w obie strony.</w:t>
      </w:r>
    </w:p>
    <w:p>
      <w:r>
        <w:rPr>
          <w:lang w:val="pl-PL"/>
        </w:rPr>
        <w:t>5. W przypadku opóźnienia w zapłacie przekraczającego czternaście dni Wykonawca uprawniony jest do zawieszenia świadczenia usług do czasu uregulowania zaległości, bez ponoszenia odpowiedzialności za skutki takiego zawieszenia oraz z zachowaniem prawa do wynagrodzenia za okres zawieszenia.</w:t>
      </w:r>
    </w:p>
    <w:p>
      <w:pPr>
        <w:pStyle w:val="Heading1"/>
      </w:pPr>
      <w:r>
        <w:rPr>
          <w:lang w:val="pl-PL"/>
        </w:rPr>
        <w:t>§ 7. Kary umowne</w:t>
      </w:r>
    </w:p>
    <w:p>
      <w:r>
        <w:rPr>
          <w:lang w:val="pl-PL"/>
        </w:rPr>
        <w:t>1. W razie opóźnienia Wykonawcy w usunięciu Awarii Krytycznej Zamawiającemu przysługuje kara umowna w wysokości 0,2 procenta miesięcznego wynagrodzenia netto za każdą rozpoczętą dobę opóźnienia.</w:t>
      </w:r>
    </w:p>
    <w:p>
      <w:r>
        <w:rPr>
          <w:lang w:val="pl-PL"/>
        </w:rPr>
        <w:t>2. W razie opóźnienia Wykonawcy w usunięciu Awarii Zwykłej Zamawiającemu przysługuje kara umowna w wysokości 0,1 procenta miesięcznego wynagrodzenia netto za każdą rozpoczętą dobę opóźnienia.</w:t>
      </w:r>
    </w:p>
    <w:p>
      <w:r>
        <w:rPr>
          <w:lang w:val="pl-PL"/>
        </w:rPr>
        <w:t>3. Łączna wysokość kar umownych należnych Zamawiającemu z wszystkich tytułów w danym miesiącu rozliczeniowym nie może przekroczyć pięciu procent miesięcznego wynagrodzenia netto.</w:t>
      </w:r>
    </w:p>
    <w:p>
      <w:r>
        <w:rPr>
          <w:lang w:val="pl-PL"/>
        </w:rPr>
        <w:t>4. W razie odstąpienia od umowy przez Wykonawcę z przyczyn leżących po stronie Zamawiającego, Zamawiający zapłaci Wykonawcy karę umowną w wysokości trzykrotności miesięcznego wynagrodzenia netto.</w:t>
      </w:r>
    </w:p>
    <w:p>
      <w:r>
        <w:rPr>
          <w:lang w:val="pl-PL"/>
        </w:rPr>
        <w:t>5. W razie naruszenia przez Zamawiającego zakazu zatrudniania personelu Wykonawcy, o którym mowa w § 11, Zamawiający zapłaci Wykonawcy karę umowną w wysokości 120 000,00 złotych za każdy przypadek naruszenia.</w:t>
      </w:r>
    </w:p>
    <w:p>
      <w:r>
        <w:rPr>
          <w:lang w:val="pl-PL"/>
        </w:rPr>
        <w:t>6. Zapłata kar umownych nie wyłącza uprawnienia Stron do dochodzenia odszkodowania przewyższającego wysokość zastrzeżonych kar, z zastrzeżeniem § 8.</w:t>
      </w:r>
    </w:p>
    <w:p>
      <w:pPr>
        <w:pStyle w:val="Heading1"/>
      </w:pPr>
      <w:r>
        <w:rPr>
          <w:lang w:val="pl-PL"/>
        </w:rPr>
        <w:t>§ 8. Odpowiedzialność Wykonawcy</w:t>
      </w:r>
    </w:p>
    <w:p>
      <w:r>
        <w:rPr>
          <w:lang w:val="pl-PL"/>
        </w:rPr>
        <w:t>1. Odpowiedzialność Wykonawcy z tytułu niewykonania lub nienależytego wykonania umowy ograniczona jest do wysokości wynagrodzenia netto należnego Wykonawcy za jeden miesiąc świadczenia usług, niezależnie od liczby zdarzeń powodujących szkodę.</w:t>
      </w:r>
    </w:p>
    <w:p>
      <w:r>
        <w:rPr>
          <w:lang w:val="pl-PL"/>
        </w:rPr>
        <w:t>2. Wykonawca nie ponosi odpowiedzialności za utracone korzyści, przerwy w produkcji, utratę danych, roszczenia osób trzecich ani za szkody pośrednie, niezależnie od podstawy prawnej roszczenia.</w:t>
      </w:r>
    </w:p>
    <w:p>
      <w:r>
        <w:rPr>
          <w:lang w:val="pl-PL"/>
        </w:rPr>
        <w:t>3. Ograniczenia odpowiedzialności określone w ustępach 1 i 2 nie mają zastosowania w przypadku szkody wyrządzonej umyślnie oraz w przypadkach, w których wyłączenie odpowiedzialności jest niedopuszczalne na mocy bezwzględnie obowiązujących przepisów prawa.</w:t>
      </w:r>
    </w:p>
    <w:p>
      <w:r>
        <w:rPr>
          <w:lang w:val="pl-PL"/>
        </w:rPr>
        <w:t>4. Wykonawca oświadcza, że posiada ubezpieczenie odpowiedzialności cywilnej z tytułu prowadzonej działalności na sumę gwarancyjną nie niższą niż 1 000 000,00 złotych i zobowiązuje się utrzymywać je przez cały okres obowiązywania umowy.</w:t>
      </w:r>
    </w:p>
    <w:p>
      <w:pPr>
        <w:pStyle w:val="Heading1"/>
      </w:pPr>
      <w:r>
        <w:rPr>
          <w:lang w:val="pl-PL"/>
        </w:rPr>
        <w:t>§ 9. Przeglądy okresowe i Okno Serwisowe</w:t>
      </w:r>
    </w:p>
    <w:p>
      <w:r>
        <w:rPr>
          <w:lang w:val="pl-PL"/>
        </w:rPr>
        <w:t>1. Wykonawca wykona przeglądy okresowe Systemu w następujących terminach: pierwszy przegląd do dnia 15 grudnia 2026 roku, drugi przegląd do dnia 15 marca 2027 roku, trzeci przegląd do dnia 15 czerwca 2027 roku, czwarty przegląd do dnia 15 września 2027 roku.</w:t>
      </w:r>
    </w:p>
    <w:p>
      <w:r>
        <w:rPr>
          <w:lang w:val="pl-PL"/>
        </w:rPr>
        <w:t>2. Termin każdego przeglądu Wykonawca uzgodni z Zamawiającym z wyprzedzeniem nie krótszym niż dziesięć dni roboczych.</w:t>
      </w:r>
    </w:p>
    <w:p>
      <w:r>
        <w:rPr>
          <w:lang w:val="pl-PL"/>
        </w:rPr>
        <w:t>3. Z każdego przeglądu Wykonawca sporządzi protokół zawierający wykaz czynności, stwierdzone nieprawidłowości oraz zalecenia. Protokół przekazywany jest Zamawiającemu w terminie siedmiu dni roboczych od dnia zakończenia przeglądu.</w:t>
      </w:r>
    </w:p>
    <w:p>
      <w:r>
        <w:rPr>
          <w:lang w:val="pl-PL"/>
        </w:rPr>
        <w:t>4. Okno Serwisowe ustala się na drugą sobotę każdego miesiąca w godzinach od 22:00 do 6:00 dnia następnego. Wykonawca może wykorzystać Okno Serwisowe bez odrębnego uzgodnienia, zawiadamiając Zamawiającego z wyprzedzeniem trzech dni roboczych.</w:t>
      </w:r>
    </w:p>
    <w:p>
      <w:pPr>
        <w:pStyle w:val="Heading1"/>
      </w:pPr>
      <w:r>
        <w:rPr>
          <w:lang w:val="pl-PL"/>
        </w:rPr>
        <w:t>§ 10. Poufność</w:t>
      </w:r>
    </w:p>
    <w:p>
      <w:r>
        <w:rPr>
          <w:lang w:val="pl-PL"/>
        </w:rPr>
        <w:t>1. Strony zobowiązują się do zachowania w tajemnicy wszelkich informacji technicznych, technologicznych, handlowych i organizacyjnych dotyczących drugiej Strony, uzyskanych w związku z wykonywaniem umowy.</w:t>
      </w:r>
    </w:p>
    <w:p>
      <w:r>
        <w:rPr>
          <w:lang w:val="pl-PL"/>
        </w:rPr>
        <w:t>2. Obowiązek zachowania poufności obowiązuje przez okres obowiązywania umowy oraz przez pięć lat od dnia jej rozwiązania lub wygaśnięcia.</w:t>
      </w:r>
    </w:p>
    <w:p>
      <w:r>
        <w:rPr>
          <w:lang w:val="pl-PL"/>
        </w:rPr>
        <w:t>3. Obowiązek zachowania poufności nie dotyczy informacji powszechnie dostępnych, informacji uzyskanych zgodnie z prawem od osób trzecich oraz informacji, których ujawnienia wymagają bezwzględnie obowiązujące przepisy prawa lub prawomocne orzeczenie sądu.</w:t>
      </w:r>
    </w:p>
    <w:p>
      <w:r>
        <w:rPr>
          <w:lang w:val="pl-PL"/>
        </w:rPr>
        <w:t>4. Wykonawca uprawniony jest do posługiwania się firmą Zamawiającego oraz ogólnym opisem przedmiotu umowy w materiałach referencyjnych i informacyjnych, bez konieczności uzyskania odrębnej zgody.</w:t>
      </w:r>
    </w:p>
    <w:p>
      <w:pPr>
        <w:pStyle w:val="Heading1"/>
      </w:pPr>
      <w:r>
        <w:rPr>
          <w:lang w:val="pl-PL"/>
        </w:rPr>
        <w:t>§ 11. Zakaz zatrudniania personelu</w:t>
      </w:r>
    </w:p>
    <w:p>
      <w:r>
        <w:rPr>
          <w:lang w:val="pl-PL"/>
        </w:rPr>
        <w:t>1. Zamawiający zobowiązuje się, że w okresie obowiązywania umowy oraz przez dwadzieścia cztery miesiące od dnia jej rozwiązania lub wygaśnięcia nie zatrudni, bezpośrednio ani pośrednio, na podstawie stosunku pracy ani jakiegokolwiek stosunku cywilnoprawnego, osoby, która w okresie obowiązywania umowy uczestniczyła po stronie Wykonawcy w jej realizacji.</w:t>
      </w:r>
    </w:p>
    <w:p>
      <w:r>
        <w:rPr>
          <w:lang w:val="pl-PL"/>
        </w:rPr>
        <w:t>2. Zakaz określony w ustępie 1 obejmuje również składanie takim osobom propozycji zatrudnienia oraz podejmowanie działań zmierzających do ich pozyskania.</w:t>
      </w:r>
    </w:p>
    <w:p>
      <w:r>
        <w:rPr>
          <w:lang w:val="pl-PL"/>
        </w:rPr>
        <w:t>3. Naruszenie zakazu skutkuje obowiązkiem zapłaty kary umownej zgodnie z § 7 ustęp 5.</w:t>
      </w:r>
    </w:p>
    <w:p>
      <w:pPr>
        <w:pStyle w:val="Heading1"/>
      </w:pPr>
      <w:r>
        <w:rPr>
          <w:lang w:val="pl-PL"/>
        </w:rPr>
        <w:t>§ 12. Prawa własności intelektualnej</w:t>
      </w:r>
    </w:p>
    <w:p>
      <w:r>
        <w:rPr>
          <w:lang w:val="pl-PL"/>
        </w:rPr>
        <w:t>1. Wykonawca zachowuje wszelkie prawa własności intelektualnej do oprogramowania, narzędzi, skryptów i dokumentacji wytworzonych lub wykorzystanych przy realizacji umowy.</w:t>
      </w:r>
    </w:p>
    <w:p>
      <w:r>
        <w:rPr>
          <w:lang w:val="pl-PL"/>
        </w:rPr>
        <w:t>2. Zamawiający nabywa niewyłączną, nieprzenoszalną licencję na korzystanie z oprogramowania sterującego wyłącznie w zakresie eksploatacji Systemu, na okres obowiązywania umowy.</w:t>
      </w:r>
    </w:p>
    <w:p>
      <w:r>
        <w:rPr>
          <w:lang w:val="pl-PL"/>
        </w:rPr>
        <w:t>3. Licencja wygasa z chwilą rozwiązania lub wygaśnięcia umowy. Po tym dniu Zamawiający zobowiązany jest zaprzestać korzystania z oprogramowania oraz usunąć jego kopie, chyba że Strony uzgodnią inaczej w formie pisemnej.</w:t>
      </w:r>
    </w:p>
    <w:p>
      <w:r>
        <w:rPr>
          <w:lang w:val="pl-PL"/>
        </w:rPr>
        <w:t>4. Przeniesienie na Zamawiającego autorskich praw majątkowych do dokumentacji powykonawczej następuje z chwilą zapłaty całości wynagrodzenia należnego za okres, w którym dokumentacja powstała.</w:t>
      </w:r>
    </w:p>
    <w:p>
      <w:pPr>
        <w:pStyle w:val="Heading1"/>
      </w:pPr>
      <w:r>
        <w:rPr>
          <w:lang w:val="pl-PL"/>
        </w:rPr>
        <w:t>§ 13. Ochrona danych osobowych</w:t>
      </w:r>
    </w:p>
    <w:p>
      <w:r>
        <w:rPr>
          <w:lang w:val="pl-PL"/>
        </w:rPr>
        <w:t>1. Strony zgodnie oświadczają, że w związku z realizacją umowy może dochodzić do przetwarzania danych osobowych, w szczególności danych pracowników Stron wyznaczonych do kontaktów roboczych.</w:t>
      </w:r>
    </w:p>
    <w:p>
      <w:r>
        <w:rPr>
          <w:lang w:val="pl-PL"/>
        </w:rPr>
        <w:t>2. Szczegółowe zasady powierzenia przetwarzania danych osobowych określa odrębna umowa powierzenia, stanowiąca Załącznik nr 3 do niniejszej umowy.</w:t>
      </w:r>
    </w:p>
    <w:p>
      <w:r>
        <w:rPr>
          <w:lang w:val="pl-PL"/>
        </w:rPr>
        <w:t>3. Wykonawca zobowiązuje się przetwarzać dane osobowe wyłącznie w zakresie i celu niezbędnym do wykonania umowy oraz stosować środki techniczne i organizacyjne zapewniające ich bezpieczeństwo.</w:t>
      </w:r>
    </w:p>
    <w:p>
      <w:pPr>
        <w:pStyle w:val="Heading1"/>
      </w:pPr>
      <w:r>
        <w:rPr>
          <w:lang w:val="pl-PL"/>
        </w:rPr>
        <w:t>§ 14. Siła wyższa</w:t>
      </w:r>
    </w:p>
    <w:p>
      <w:r>
        <w:rPr>
          <w:lang w:val="pl-PL"/>
        </w:rPr>
        <w:t>1. Żadna ze Stron nie ponosi odpowiedzialności za niewykonanie lub nienależyte wykonanie umowy, jeżeli jest ono następstwem siły wyższej, przez którą rozumie się zdarzenie zewnętrzne, niemożliwe do przewidzenia i niemożliwe do zapobieżenia.</w:t>
      </w:r>
    </w:p>
    <w:p>
      <w:r>
        <w:rPr>
          <w:lang w:val="pl-PL"/>
        </w:rPr>
        <w:t>2. Strona powołująca się na siłę wyższą zobowiązana jest niezwłocznie, nie później niż w terminie pięciu dni roboczych, powiadomić drugą Stronę o jej wystąpieniu oraz o przewidywanym czasie trwania przeszkody.</w:t>
      </w:r>
    </w:p>
    <w:p>
      <w:r>
        <w:rPr>
          <w:lang w:val="pl-PL"/>
        </w:rPr>
        <w:t>3. Jeżeli stan siły wyższej utrzymuje się nieprzerwanie dłużej niż sześćdziesiąt dni, każda ze Stron uprawniona jest do odstąpienia od umowy ze skutkiem natychmiastowym.</w:t>
      </w:r>
    </w:p>
    <w:p>
      <w:pPr>
        <w:pStyle w:val="Heading1"/>
      </w:pPr>
      <w:r>
        <w:rPr>
          <w:lang w:val="pl-PL"/>
        </w:rPr>
        <w:t>§ 16. Procedura eskalacji</w:t>
      </w:r>
    </w:p>
    <w:p>
      <w:r>
        <w:rPr>
          <w:lang w:val="pl-PL"/>
        </w:rPr>
        <w:t>1. W razie przekroczenia terminu usunięcia awarii określonego w § 5 Zamawiający uprawniony jest do uruchomienia procedury eskalacji.</w:t>
      </w:r>
    </w:p>
    <w:p>
      <w:r>
        <w:rPr>
          <w:lang w:val="pl-PL"/>
        </w:rPr>
        <w:t>2. Pierwszy poziom eskalacji stanowi kierownik zespołu serwisowego Wykonawcy. Zgłoszenie eskalacji na tym poziomie następuje przez portal zgłoszeniowy, a Wykonawca zobowiązany jest udzielić odpowiedzi w terminie ośmiu godzin roboczych.</w:t>
      </w:r>
    </w:p>
    <w:p>
      <w:r>
        <w:rPr>
          <w:lang w:val="pl-PL"/>
        </w:rPr>
        <w:t>3. Drugi poziom eskalacji stanowi dyrektor działu serwisu Wykonawcy. Eskalacja na ten poziom możliwa jest po bezskutecznym upływie terminu wskazanego w ustępie 2, a odpowiedź udzielana jest w terminie dwóch dni roboczych.</w:t>
      </w:r>
    </w:p>
    <w:p>
      <w:r>
        <w:rPr>
          <w:lang w:val="pl-PL"/>
        </w:rPr>
        <w:t>4. Trzeci poziom eskalacji stanowi spotkanie przedstawicieli Stron, zwoływane na wniosek którejkolwiek ze Stron w terminie pięciu dni roboczych od dnia złożenia wniosku.</w:t>
      </w:r>
    </w:p>
    <w:p>
      <w:r>
        <w:rPr>
          <w:lang w:val="pl-PL"/>
        </w:rPr>
        <w:t>5. Uruchomienie procedury eskalacji nie wstrzymuje biegu terminów naliczania kar umownych ani nie stanowi warunku dochodzenia roszczeń.</w:t>
      </w:r>
    </w:p>
    <w:p>
      <w:pPr>
        <w:pStyle w:val="Heading1"/>
      </w:pPr>
      <w:r>
        <w:rPr>
          <w:lang w:val="pl-PL"/>
        </w:rPr>
        <w:t>§ 17. Zarządzanie zmianą</w:t>
      </w:r>
    </w:p>
    <w:p>
      <w:r>
        <w:rPr>
          <w:lang w:val="pl-PL"/>
        </w:rPr>
        <w:t>1. Każda zmiana zakresu usług, konfiguracji Systemu lub sposobu świadczenia usług wymaga zgłoszenia w formie wniosku o zmianę.</w:t>
      </w:r>
    </w:p>
    <w:p>
      <w:r>
        <w:rPr>
          <w:lang w:val="pl-PL"/>
        </w:rPr>
        <w:t>2. Wykonawca dokona wyceny wniosku o zmianę w terminie dziesięciu dni roboczych od dnia jego otrzymania. Wycena zachowuje ważność przez trzydzieści dni.</w:t>
      </w:r>
    </w:p>
    <w:p>
      <w:r>
        <w:rPr>
          <w:lang w:val="pl-PL"/>
        </w:rPr>
        <w:t>3. Realizacja zmiany rozpoczyna się po pisemnej akceptacji wyceny przez Zamawiającego. Do czasu akceptacji Wykonawca nie jest zobowiązany do podejmowania jakichkolwiek czynności objętych wnioskiem.</w:t>
      </w:r>
    </w:p>
    <w:p>
      <w:r>
        <w:rPr>
          <w:lang w:val="pl-PL"/>
        </w:rPr>
        <w:t>4. Wnioski o zmianę, których wycena nie przekracza 5 000,00 złotych netto, mogą być akceptowane przez osoby wyznaczone do kontaktów roboczych, bez konieczności zawierania aneksu.</w:t>
      </w:r>
    </w:p>
    <w:p>
      <w:r>
        <w:rPr>
          <w:lang w:val="pl-PL"/>
        </w:rPr>
        <w:t>5. Zmiany wynikające z obowiązku dostosowania Systemu do zmian powszechnie obowiązujących przepisów prawa realizowane są na koszt Zamawiającego.</w:t>
      </w:r>
    </w:p>
    <w:p>
      <w:pPr>
        <w:pStyle w:val="Heading1"/>
      </w:pPr>
      <w:r>
        <w:rPr>
          <w:lang w:val="pl-PL"/>
        </w:rPr>
        <w:t>§ 18. Podwykonawcy</w:t>
      </w:r>
    </w:p>
    <w:p>
      <w:r>
        <w:rPr>
          <w:lang w:val="pl-PL"/>
        </w:rPr>
        <w:t>1. Wykonawca uprawniony jest do powierzenia wykonania części usług podwykonawcom bez uzyskiwania odrębnej zgody Zamawiającego.</w:t>
      </w:r>
    </w:p>
    <w:p>
      <w:r>
        <w:rPr>
          <w:lang w:val="pl-PL"/>
        </w:rPr>
        <w:t>2. Wykonawca odpowiada za działania i zaniechania podwykonawców jak za działania własne.</w:t>
      </w:r>
    </w:p>
    <w:p>
      <w:r>
        <w:rPr>
          <w:lang w:val="pl-PL"/>
        </w:rPr>
        <w:t>3. Na żądanie Zamawiającego Wykonawca przekaże wykaz podwykonawców uczestniczących w realizacji umowy w terminie siedmiu dni roboczych od dnia otrzymania żądania.</w:t>
      </w:r>
    </w:p>
    <w:p>
      <w:pPr>
        <w:pStyle w:val="Heading1"/>
      </w:pPr>
      <w:r>
        <w:rPr>
          <w:lang w:val="pl-PL"/>
        </w:rPr>
        <w:t>§ 19. Raportowanie i przeglądy współpracy</w:t>
      </w:r>
    </w:p>
    <w:p>
      <w:r>
        <w:rPr>
          <w:lang w:val="pl-PL"/>
        </w:rPr>
        <w:t>1. Wykonawca przekaże Zamawiającemu miesięczny raport z realizacji usług w terminie do dziesiątego dnia miesiąca następującego po miesiącu rozliczeniowym.</w:t>
      </w:r>
    </w:p>
    <w:p>
      <w:r>
        <w:rPr>
          <w:lang w:val="pl-PL"/>
        </w:rPr>
        <w:t>2. Raport zawiera: wykaz zgłoszeń wraz z klasyfikacją i czasami reakcji, wyliczenie osiągniętego poziomu dostępności Systemu, wykaz prac wykonanych poza zakresem umowy oraz zalecenia.</w:t>
      </w:r>
    </w:p>
    <w:p>
      <w:r>
        <w:rPr>
          <w:lang w:val="pl-PL"/>
        </w:rPr>
        <w:t>3. Strony przeprowadzą przegląd współpracy w terminach: do dnia 31 marca 2027 roku oraz do dnia 30 września 2027 roku. Z przeglądu sporządzana jest notatka podpisywana przez przedstawicieli Stron.</w:t>
      </w:r>
    </w:p>
    <w:p>
      <w:r>
        <w:rPr>
          <w:lang w:val="pl-PL"/>
        </w:rPr>
        <w:t>4. Brak zgłoszenia przez Zamawiającego zastrzeżeń do raportu miesięcznego w terminie dziesięciu dni roboczych od dnia jego otrzymania uznaje się za akceptację raportu, w tym wyliczonego poziomu dostępności Systemu.</w:t>
      </w:r>
    </w:p>
    <w:p>
      <w:pPr>
        <w:pStyle w:val="Heading1"/>
      </w:pPr>
      <w:r>
        <w:rPr>
          <w:lang w:val="pl-PL"/>
        </w:rPr>
        <w:t>§ 20. Części zamienne</w:t>
      </w:r>
    </w:p>
    <w:p>
      <w:r>
        <w:rPr>
          <w:lang w:val="pl-PL"/>
        </w:rPr>
        <w:t>1. Wykonawca zobowiązuje się utrzymywać zapas części zamiennych umożliwiający usunięcie Awarii Krytycznej w terminie określonym w § 5 ustęp 1, w zakresie urządzeń wskazanych w Załączniku nr 1.</w:t>
      </w:r>
    </w:p>
    <w:p>
      <w:r>
        <w:rPr>
          <w:lang w:val="pl-PL"/>
        </w:rPr>
        <w:t>2. Koszt części zamiennych zużytych przy usuwaniu awarii nie jest objęty wynagrodzeniem ryczałtowym i rozliczany jest odrębnie, według cennika Wykonawcy obowiązującego w dniu zużycia części.</w:t>
      </w:r>
    </w:p>
    <w:p>
      <w:r>
        <w:rPr>
          <w:lang w:val="pl-PL"/>
        </w:rPr>
        <w:t>3. W przypadku braku dostępności części zamiennej z przyczyn niezależnych od Wykonawcy terminy określone w § 5 ulegają zawieszeniu do czasu jej pozyskania, nie dłużej jednak niż o czterdzieści pięć dni.</w:t>
      </w:r>
    </w:p>
    <w:p>
      <w:r>
        <w:rPr>
          <w:lang w:val="pl-PL"/>
        </w:rPr>
        <w:t>4. Części wymontowane z Systemu w ramach usuwania awarii przechodzą na własność Wykonawcy.</w:t>
      </w:r>
    </w:p>
    <w:p>
      <w:pPr>
        <w:pStyle w:val="Heading1"/>
      </w:pPr>
      <w:r>
        <w:rPr>
          <w:lang w:val="pl-PL"/>
        </w:rPr>
        <w:t>§ 21. Rozwiązanie umowy i rozliczenie końcowe</w:t>
      </w:r>
    </w:p>
    <w:p>
      <w:r>
        <w:rPr>
          <w:lang w:val="pl-PL"/>
        </w:rPr>
        <w:t>1. Każda ze Stron uprawniona jest do rozwiązania umowy ze skutkiem natychmiastowym w razie rażącego naruszenia jej postanowień przez drugą Stronę, po uprzednim pisemnym wezwaniu do zaprzestania naruszeń i bezskutecznym upływie wyznaczonego terminu, nie krótszego niż czternaście dni.</w:t>
      </w:r>
    </w:p>
    <w:p>
      <w:r>
        <w:rPr>
          <w:lang w:val="pl-PL"/>
        </w:rPr>
        <w:t>2. Wykonawca uprawniony jest do rozwiązania umowy ze skutkiem natychmiastowym w razie opóźnienia Zamawiającego w zapłacie przekraczającego trzydzieści dni, bez uprzedniego wezwania.</w:t>
      </w:r>
    </w:p>
    <w:p>
      <w:r>
        <w:rPr>
          <w:lang w:val="pl-PL"/>
        </w:rPr>
        <w:t>3. W terminie trzydziestu dni od dnia rozwiązania lub wygaśnięcia umowy Wykonawca przekaże Zamawiającemu dokumentację serwisową oraz hasła i dane dostępowe do Systemu.</w:t>
      </w:r>
    </w:p>
    <w:p>
      <w:r>
        <w:rPr>
          <w:lang w:val="pl-PL"/>
        </w:rPr>
        <w:t>4. Przekazanie, o którym mowa w ustępie 3, następuje po uregulowaniu przez Zamawiającego wszystkich wymagalnych należności wynikających z umowy.</w:t>
      </w:r>
    </w:p>
    <w:p>
      <w:r>
        <w:rPr>
          <w:lang w:val="pl-PL"/>
        </w:rPr>
        <w:t>5. Usługi wsparcia w okresie przejściowym, w szczególności współpraca z nowym dostawcą usług serwisowych, świadczone są wyłącznie na podstawie odrębnego zlecenia, według stawki określonej w § 6 ustęp 4 powiększonej o pięćdziesiąt procent.</w:t>
      </w:r>
    </w:p>
    <w:p>
      <w:pPr>
        <w:pStyle w:val="Heading1"/>
      </w:pPr>
      <w:r>
        <w:rPr>
          <w:lang w:val="pl-PL"/>
        </w:rPr>
        <w:t>§ 22. Zmiany umowy i postanowienia końcowe</w:t>
      </w:r>
    </w:p>
    <w:p>
      <w:r>
        <w:rPr>
          <w:lang w:val="pl-PL"/>
        </w:rPr>
        <w:t>1. Wszelkie zmiany umowy wymagają formy pisemnej pod rygorem nieważności, z wyjątkiem waloryzacji wynagrodzenia, o której mowa w § 6 ustęp 3, oraz zmiany osób wyznaczonych do kontaktów roboczych.</w:t>
      </w:r>
    </w:p>
    <w:p>
      <w:r>
        <w:rPr>
          <w:lang w:val="pl-PL"/>
        </w:rPr>
        <w:t>2. Zamawiający nie może przenieść praw i obowiązków wynikających z umowy na osobę trzecią bez uprzedniej pisemnej zgody Wykonawcy. Wykonawca uprawniony jest do przeniesienia praw i obowiązków wynikających z umowy na podmiot z grupy kapitałowej Wykonawcy, zawiadamiając o tym Zamawiającego.</w:t>
      </w:r>
    </w:p>
    <w:p>
      <w:r>
        <w:rPr>
          <w:lang w:val="pl-PL"/>
        </w:rPr>
        <w:t>3. W sprawach nieuregulowanych umową zastosowanie mają przepisy Kodeksu cywilnego.</w:t>
      </w:r>
    </w:p>
    <w:p>
      <w:r>
        <w:rPr>
          <w:lang w:val="pl-PL"/>
        </w:rPr>
        <w:t>4. Ewentualne spory wynikające z umowy Strony poddają pod rozstrzygnięcie sądu powszechnego właściwego miejscowo dla siedziby Wykonawcy.</w:t>
      </w:r>
    </w:p>
    <w:p>
      <w:r>
        <w:rPr>
          <w:lang w:val="pl-PL"/>
        </w:rPr>
        <w:t>5. Umowę sporządzono w dwóch jednobrzmiących egzemplarzach, po jednym dla każdej ze Stron.</w:t>
      </w:r>
    </w:p>
    <w:p>
      <w:r>
        <w:rPr>
          <w:lang w:val="pl-PL"/>
        </w:rPr>
        <w:t>6. Integralną część umowy stanowią: Załącznik nr 1 - wykaz urządzeń i oprogramowania objętych obsługą, Załącznik nr 2 - procedura zgłaszania awarii, Załącznik nr 3 - umowa powierzenia przetwarzania danych osobowych.</w:t>
      </w:r>
    </w:p>
    <w:p>
      <w:r>
        <w:rPr>
          <w:lang w:val="pl-PL"/>
        </w:rPr>
        <w:br w:type="page"/>
      </w:r>
    </w:p>
    <w:p>
      <w:pPr>
        <w:pStyle w:val="Heading1"/>
      </w:pPr>
      <w:r>
        <w:rPr>
          <w:lang w:val="pl-PL"/>
        </w:rPr>
        <w:t>Załącznik nr 1. Wykaz urządzeń i oprogramowania objętych obsługą</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lang w:val="pl-PL"/>
              </w:rPr>
              <w:t>Lp.</w:t>
            </w:r>
          </w:p>
        </w:tc>
        <w:tc>
          <w:tcPr>
            <w:tcW w:type="dxa" w:w="2351"/>
          </w:tcPr>
          <w:p>
            <w:r>
              <w:rPr>
                <w:lang w:val="pl-PL"/>
              </w:rPr>
              <w:t>Urządzenie lub oprogramowanie</w:t>
            </w:r>
          </w:p>
        </w:tc>
        <w:tc>
          <w:tcPr>
            <w:tcW w:type="dxa" w:w="2351"/>
          </w:tcPr>
          <w:p>
            <w:r>
              <w:rPr>
                <w:lang w:val="pl-PL"/>
              </w:rPr>
              <w:t>Numer seryjny</w:t>
            </w:r>
          </w:p>
        </w:tc>
        <w:tc>
          <w:tcPr>
            <w:tcW w:type="dxa" w:w="2351"/>
          </w:tcPr>
          <w:p>
            <w:r>
              <w:rPr>
                <w:lang w:val="pl-PL"/>
              </w:rPr>
              <w:t>Lokalizacja</w:t>
            </w:r>
          </w:p>
        </w:tc>
      </w:tr>
      <w:tr>
        <w:tc>
          <w:tcPr>
            <w:tcW w:type="dxa" w:w="2351"/>
          </w:tcPr>
          <w:p>
            <w:r>
              <w:rPr>
                <w:lang w:val="pl-PL"/>
              </w:rPr>
              <w:t>1</w:t>
            </w:r>
          </w:p>
        </w:tc>
        <w:tc>
          <w:tcPr>
            <w:tcW w:type="dxa" w:w="2351"/>
          </w:tcPr>
          <w:p>
            <w:r>
              <w:rPr>
                <w:lang w:val="pl-PL"/>
              </w:rPr>
              <w:t>Analizator ANV-450</w:t>
            </w:r>
          </w:p>
        </w:tc>
        <w:tc>
          <w:tcPr>
            <w:tcW w:type="dxa" w:w="2351"/>
          </w:tcPr>
          <w:p>
            <w:r>
              <w:rPr>
                <w:lang w:val="pl-PL"/>
              </w:rPr>
              <w:t>ANV450-2024-0118</w:t>
            </w:r>
          </w:p>
        </w:tc>
        <w:tc>
          <w:tcPr>
            <w:tcW w:type="dxa" w:w="2351"/>
          </w:tcPr>
          <w:p>
            <w:r>
              <w:rPr>
                <w:lang w:val="pl-PL"/>
              </w:rPr>
              <w:t>Hala A, stanowisko 3</w:t>
            </w:r>
          </w:p>
        </w:tc>
      </w:tr>
      <w:tr>
        <w:tc>
          <w:tcPr>
            <w:tcW w:type="dxa" w:w="2351"/>
          </w:tcPr>
          <w:p>
            <w:r>
              <w:rPr>
                <w:lang w:val="pl-PL"/>
              </w:rPr>
              <w:t>2</w:t>
            </w:r>
          </w:p>
        </w:tc>
        <w:tc>
          <w:tcPr>
            <w:tcW w:type="dxa" w:w="2351"/>
          </w:tcPr>
          <w:p>
            <w:r>
              <w:rPr>
                <w:lang w:val="pl-PL"/>
              </w:rPr>
              <w:t>Analizator ANV-450</w:t>
            </w:r>
          </w:p>
        </w:tc>
        <w:tc>
          <w:tcPr>
            <w:tcW w:type="dxa" w:w="2351"/>
          </w:tcPr>
          <w:p>
            <w:r>
              <w:rPr>
                <w:lang w:val="pl-PL"/>
              </w:rPr>
              <w:t>ANV450-2024-0119</w:t>
            </w:r>
          </w:p>
        </w:tc>
        <w:tc>
          <w:tcPr>
            <w:tcW w:type="dxa" w:w="2351"/>
          </w:tcPr>
          <w:p>
            <w:r>
              <w:rPr>
                <w:lang w:val="pl-PL"/>
              </w:rPr>
              <w:t>Hala A, stanowisko 7</w:t>
            </w:r>
          </w:p>
        </w:tc>
      </w:tr>
      <w:tr>
        <w:tc>
          <w:tcPr>
            <w:tcW w:type="dxa" w:w="2351"/>
          </w:tcPr>
          <w:p>
            <w:r>
              <w:rPr>
                <w:lang w:val="pl-PL"/>
              </w:rPr>
              <w:t>3</w:t>
            </w:r>
          </w:p>
        </w:tc>
        <w:tc>
          <w:tcPr>
            <w:tcW w:type="dxa" w:w="2351"/>
          </w:tcPr>
          <w:p>
            <w:r>
              <w:rPr>
                <w:lang w:val="pl-PL"/>
              </w:rPr>
              <w:t>Stacja pomiarowa SP-1000</w:t>
            </w:r>
          </w:p>
        </w:tc>
        <w:tc>
          <w:tcPr>
            <w:tcW w:type="dxa" w:w="2351"/>
          </w:tcPr>
          <w:p>
            <w:r>
              <w:rPr>
                <w:lang w:val="pl-PL"/>
              </w:rPr>
              <w:t>SP1000-2023-0042</w:t>
            </w:r>
          </w:p>
        </w:tc>
        <w:tc>
          <w:tcPr>
            <w:tcW w:type="dxa" w:w="2351"/>
          </w:tcPr>
          <w:p>
            <w:r>
              <w:rPr>
                <w:lang w:val="pl-PL"/>
              </w:rPr>
              <w:t>Hala B, poziom 0</w:t>
            </w:r>
          </w:p>
        </w:tc>
      </w:tr>
      <w:tr>
        <w:tc>
          <w:tcPr>
            <w:tcW w:type="dxa" w:w="2351"/>
          </w:tcPr>
          <w:p>
            <w:r>
              <w:rPr>
                <w:lang w:val="pl-PL"/>
              </w:rPr>
              <w:t>4</w:t>
            </w:r>
          </w:p>
        </w:tc>
        <w:tc>
          <w:tcPr>
            <w:tcW w:type="dxa" w:w="2351"/>
          </w:tcPr>
          <w:p>
            <w:r>
              <w:rPr>
                <w:lang w:val="pl-PL"/>
              </w:rPr>
              <w:t>Moduł sterujący MS-7</w:t>
            </w:r>
          </w:p>
        </w:tc>
        <w:tc>
          <w:tcPr>
            <w:tcW w:type="dxa" w:w="2351"/>
          </w:tcPr>
          <w:p>
            <w:r>
              <w:rPr>
                <w:lang w:val="pl-PL"/>
              </w:rPr>
              <w:t>MS7-2024-0311</w:t>
            </w:r>
          </w:p>
        </w:tc>
        <w:tc>
          <w:tcPr>
            <w:tcW w:type="dxa" w:w="2351"/>
          </w:tcPr>
          <w:p>
            <w:r>
              <w:rPr>
                <w:lang w:val="pl-PL"/>
              </w:rPr>
              <w:t>Serwerownia, szafa R2</w:t>
            </w:r>
          </w:p>
        </w:tc>
      </w:tr>
      <w:tr>
        <w:tc>
          <w:tcPr>
            <w:tcW w:type="dxa" w:w="2351"/>
          </w:tcPr>
          <w:p>
            <w:r>
              <w:rPr>
                <w:lang w:val="pl-PL"/>
              </w:rPr>
              <w:t>5</w:t>
            </w:r>
          </w:p>
        </w:tc>
        <w:tc>
          <w:tcPr>
            <w:tcW w:type="dxa" w:w="2351"/>
          </w:tcPr>
          <w:p>
            <w:r>
              <w:rPr>
                <w:lang w:val="pl-PL"/>
              </w:rPr>
              <w:t>Moduł sterujący MS-7</w:t>
            </w:r>
          </w:p>
        </w:tc>
        <w:tc>
          <w:tcPr>
            <w:tcW w:type="dxa" w:w="2351"/>
          </w:tcPr>
          <w:p>
            <w:r>
              <w:rPr>
                <w:lang w:val="pl-PL"/>
              </w:rPr>
              <w:t>MS7-2024-0312</w:t>
            </w:r>
          </w:p>
        </w:tc>
        <w:tc>
          <w:tcPr>
            <w:tcW w:type="dxa" w:w="2351"/>
          </w:tcPr>
          <w:p>
            <w:r>
              <w:rPr>
                <w:lang w:val="pl-PL"/>
              </w:rPr>
              <w:t>Serwerownia, szafa R2</w:t>
            </w:r>
          </w:p>
        </w:tc>
      </w:tr>
      <w:tr>
        <w:tc>
          <w:tcPr>
            <w:tcW w:type="dxa" w:w="2351"/>
          </w:tcPr>
          <w:p>
            <w:r>
              <w:rPr>
                <w:lang w:val="pl-PL"/>
              </w:rPr>
              <w:t>6</w:t>
            </w:r>
          </w:p>
        </w:tc>
        <w:tc>
          <w:tcPr>
            <w:tcW w:type="dxa" w:w="2351"/>
          </w:tcPr>
          <w:p>
            <w:r>
              <w:rPr>
                <w:lang w:val="pl-PL"/>
              </w:rPr>
              <w:t>Czujnik przepływu CP-12 (12 sztuk)</w:t>
            </w:r>
          </w:p>
        </w:tc>
        <w:tc>
          <w:tcPr>
            <w:tcW w:type="dxa" w:w="2351"/>
          </w:tcPr>
          <w:p>
            <w:r>
              <w:rPr>
                <w:lang w:val="pl-PL"/>
              </w:rPr>
              <w:t>CP12-2024-0501..0512</w:t>
            </w:r>
          </w:p>
        </w:tc>
        <w:tc>
          <w:tcPr>
            <w:tcW w:type="dxa" w:w="2351"/>
          </w:tcPr>
          <w:p>
            <w:r>
              <w:rPr>
                <w:lang w:val="pl-PL"/>
              </w:rPr>
              <w:t>Hala A i Hala B</w:t>
            </w:r>
          </w:p>
        </w:tc>
      </w:tr>
      <w:tr>
        <w:tc>
          <w:tcPr>
            <w:tcW w:type="dxa" w:w="2351"/>
          </w:tcPr>
          <w:p>
            <w:r>
              <w:rPr>
                <w:lang w:val="pl-PL"/>
              </w:rPr>
              <w:t>7</w:t>
            </w:r>
          </w:p>
        </w:tc>
        <w:tc>
          <w:tcPr>
            <w:tcW w:type="dxa" w:w="2351"/>
          </w:tcPr>
          <w:p>
            <w:r>
              <w:rPr>
                <w:lang w:val="pl-PL"/>
              </w:rPr>
              <w:t>Czujnik ciśnienia CC-30 (8 sztuk)</w:t>
            </w:r>
          </w:p>
        </w:tc>
        <w:tc>
          <w:tcPr>
            <w:tcW w:type="dxa" w:w="2351"/>
          </w:tcPr>
          <w:p>
            <w:r>
              <w:rPr>
                <w:lang w:val="pl-PL"/>
              </w:rPr>
              <w:t>CC30-2024-0201..0208</w:t>
            </w:r>
          </w:p>
        </w:tc>
        <w:tc>
          <w:tcPr>
            <w:tcW w:type="dxa" w:w="2351"/>
          </w:tcPr>
          <w:p>
            <w:r>
              <w:rPr>
                <w:lang w:val="pl-PL"/>
              </w:rPr>
              <w:t>Hala B</w:t>
            </w:r>
          </w:p>
        </w:tc>
      </w:tr>
      <w:tr>
        <w:tc>
          <w:tcPr>
            <w:tcW w:type="dxa" w:w="2351"/>
          </w:tcPr>
          <w:p>
            <w:r>
              <w:rPr>
                <w:lang w:val="pl-PL"/>
              </w:rPr>
              <w:t>8</w:t>
            </w:r>
          </w:p>
        </w:tc>
        <w:tc>
          <w:tcPr>
            <w:tcW w:type="dxa" w:w="2351"/>
          </w:tcPr>
          <w:p>
            <w:r>
              <w:rPr>
                <w:lang w:val="pl-PL"/>
              </w:rPr>
              <w:t>Zawór regulacyjny ZR-5 (4 sztuki)</w:t>
            </w:r>
          </w:p>
        </w:tc>
        <w:tc>
          <w:tcPr>
            <w:tcW w:type="dxa" w:w="2351"/>
          </w:tcPr>
          <w:p>
            <w:r>
              <w:rPr>
                <w:lang w:val="pl-PL"/>
              </w:rPr>
              <w:t>ZR5-2023-0077..0080</w:t>
            </w:r>
          </w:p>
        </w:tc>
        <w:tc>
          <w:tcPr>
            <w:tcW w:type="dxa" w:w="2351"/>
          </w:tcPr>
          <w:p>
            <w:r>
              <w:rPr>
                <w:lang w:val="pl-PL"/>
              </w:rPr>
              <w:t>Hala B, linia 2</w:t>
            </w:r>
          </w:p>
        </w:tc>
      </w:tr>
      <w:tr>
        <w:tc>
          <w:tcPr>
            <w:tcW w:type="dxa" w:w="2351"/>
          </w:tcPr>
          <w:p>
            <w:r>
              <w:rPr>
                <w:lang w:val="pl-PL"/>
              </w:rPr>
              <w:t>9</w:t>
            </w:r>
          </w:p>
        </w:tc>
        <w:tc>
          <w:tcPr>
            <w:tcW w:type="dxa" w:w="2351"/>
          </w:tcPr>
          <w:p>
            <w:r>
              <w:rPr>
                <w:lang w:val="pl-PL"/>
              </w:rPr>
              <w:t>Licencja Nordvent Cloud</w:t>
            </w:r>
          </w:p>
        </w:tc>
        <w:tc>
          <w:tcPr>
            <w:tcW w:type="dxa" w:w="2351"/>
          </w:tcPr>
          <w:p>
            <w:r>
              <w:rPr>
                <w:lang w:val="pl-PL"/>
              </w:rPr>
              <w:t>NC-2026-8841</w:t>
            </w:r>
          </w:p>
        </w:tc>
        <w:tc>
          <w:tcPr>
            <w:tcW w:type="dxa" w:w="2351"/>
          </w:tcPr>
          <w:p>
            <w:r>
              <w:rPr>
                <w:lang w:val="pl-PL"/>
              </w:rPr>
              <w:t>Środowisko chmurowe</w:t>
            </w:r>
          </w:p>
        </w:tc>
      </w:tr>
      <w:tr>
        <w:tc>
          <w:tcPr>
            <w:tcW w:type="dxa" w:w="2351"/>
          </w:tcPr>
          <w:p>
            <w:r>
              <w:rPr>
                <w:lang w:val="pl-PL"/>
              </w:rPr>
              <w:t>10</w:t>
            </w:r>
          </w:p>
        </w:tc>
        <w:tc>
          <w:tcPr>
            <w:tcW w:type="dxa" w:w="2351"/>
          </w:tcPr>
          <w:p>
            <w:r>
              <w:rPr>
                <w:lang w:val="pl-PL"/>
              </w:rPr>
              <w:t>Licencja Nordvent Analytics</w:t>
            </w:r>
          </w:p>
        </w:tc>
        <w:tc>
          <w:tcPr>
            <w:tcW w:type="dxa" w:w="2351"/>
          </w:tcPr>
          <w:p>
            <w:r>
              <w:rPr>
                <w:lang w:val="pl-PL"/>
              </w:rPr>
              <w:t>NA-2026-8842</w:t>
            </w:r>
          </w:p>
        </w:tc>
        <w:tc>
          <w:tcPr>
            <w:tcW w:type="dxa" w:w="2351"/>
          </w:tcPr>
          <w:p>
            <w:r>
              <w:rPr>
                <w:lang w:val="pl-PL"/>
              </w:rPr>
              <w:t>Środowisko chmurowe</w:t>
            </w:r>
          </w:p>
        </w:tc>
      </w:tr>
    </w:tbl>
    <w:p>
      <w:pPr>
        <w:pStyle w:val="Heading1"/>
      </w:pPr>
      <w:r>
        <w:rPr>
          <w:lang w:val="pl-PL"/>
        </w:rPr>
        <w:t>Załącznik nr 2. Procedura zgłaszania awarii</w:t>
      </w:r>
    </w:p>
    <w:p>
      <w:r>
        <w:rPr>
          <w:lang w:val="pl-PL"/>
        </w:rPr>
        <w:t>1. Zgłoszenia awarii przyjmowane są wyłącznie za pośrednictwem portalu zgłoszeniowego dostępnego pod adresem wskazanym Zamawiającemu przy podpisaniu umowy.</w:t>
      </w:r>
    </w:p>
    <w:p>
      <w:r>
        <w:rPr>
          <w:lang w:val="pl-PL"/>
        </w:rPr>
        <w:t>2. Zgłoszenie powinno zawierać: opis nieprawidłowości, wskazanie urządzenia lub modułu, datę i godzinę wystąpienia, dane osoby zgłaszającej oraz proponowaną klasyfikację awarii.</w:t>
      </w:r>
    </w:p>
    <w:p>
      <w:r>
        <w:rPr>
          <w:lang w:val="pl-PL"/>
        </w:rPr>
        <w:t>3. Wykonawca potwierdza przyjęcie zgłoszenia w portalu. Chwila potwierdzenia jest chwilą przyjęcia zgłoszenia w rozumieniu § 5.</w:t>
      </w:r>
    </w:p>
    <w:p>
      <w:r>
        <w:rPr>
          <w:lang w:val="pl-PL"/>
        </w:rPr>
        <w:t>4. Klasyfikacji awarii dokonuje Wykonawca. W razie rozbieżności co do klasyfikacji Strony podejmują uzgodnienia, a do czasu ich zakończenia obowiązuje klasyfikacja przyjęta przez Wykonawcę.</w:t>
      </w:r>
    </w:p>
    <w:p>
      <w:r>
        <w:rPr>
          <w:lang w:val="pl-PL"/>
        </w:rPr>
        <w:t>5. Zamknięcie zgłoszenia następuje po potwierdzeniu przez Zamawiającego usunięcia nieprawidłowości. Brak reakcji Zamawiającego w terminie trzech dni roboczych od zgłoszenia gotowości uznaje się za potwierdzenie.</w:t>
      </w:r>
    </w:p>
    <w:p>
      <w:pPr>
        <w:pStyle w:val="Heading1"/>
      </w:pPr>
      <w:r>
        <w:rPr>
          <w:lang w:val="pl-PL"/>
        </w:rPr>
        <w:t>Załącznik nr 3. Umowa powierzenia przetwarzania danych osobowych</w:t>
      </w:r>
    </w:p>
    <w:p>
      <w:r>
        <w:rPr>
          <w:lang w:val="pl-PL"/>
        </w:rPr>
        <w:t>1. Zamawiający, jako administrator danych, powierza Wykonawcy przetwarzanie danych osobowych pracowników i współpracowników Zamawiającego wyznaczonych do obsługi Systemu oraz do kontaktów roboczych.</w:t>
      </w:r>
    </w:p>
    <w:p>
      <w:r>
        <w:rPr>
          <w:lang w:val="pl-PL"/>
        </w:rPr>
        <w:t>2. Zakres powierzonych danych obejmuje: imię i nazwisko, służbowy adres poczty elektronicznej, służbowy numer telefonu, stanowisko oraz identyfikator użytkownika w Systemie.</w:t>
      </w:r>
    </w:p>
    <w:p>
      <w:r>
        <w:rPr>
          <w:lang w:val="pl-PL"/>
        </w:rPr>
        <w:t>3. Celem powierzenia jest umożliwienie Wykonawcy świadczenia usług serwisowych, w szczególności obsługi zgłoszeń, nadawania i odbierania uprawnień oraz prowadzenia dokumentacji serwisowej.</w:t>
      </w:r>
    </w:p>
    <w:p>
      <w:r>
        <w:rPr>
          <w:lang w:val="pl-PL"/>
        </w:rPr>
        <w:t>4. Wykonawca przetwarza powierzone dane wyłącznie na udokumentowane polecenie Zamawiającego, przez okres obowiązywania umowy serwisowej.</w:t>
      </w:r>
    </w:p>
    <w:p>
      <w:r>
        <w:rPr>
          <w:lang w:val="pl-PL"/>
        </w:rPr>
        <w:t>5. Wykonawca zobowiązuje się do zapewnienia, aby osoby upoważnione do przetwarzania powierzonych danych zobowiązały się do zachowania ich w tajemnicy.</w:t>
      </w:r>
    </w:p>
    <w:p>
      <w:r>
        <w:rPr>
          <w:lang w:val="pl-PL"/>
        </w:rPr>
        <w:t>6. Wykonawca uprawniony jest do korzystania z podprzetwarzających. Wykonawca poinformuje Zamawiającego o zamiarze powierzenia przetwarzania nowemu podmiotowi z wyprzedzeniem czternastu dni. Brak sprzeciwu Zamawiającego w tym terminie uznaje się za zgodę.</w:t>
      </w:r>
    </w:p>
    <w:p>
      <w:r>
        <w:rPr>
          <w:lang w:val="pl-PL"/>
        </w:rPr>
        <w:t>7. Wykonawca zobowiązuje się zgłosić Zamawiającemu każde naruszenie ochrony powierzonych danych osobowych w terminie dwudziestu czterech godzin od jego stwierdzenia.</w:t>
      </w:r>
    </w:p>
    <w:p>
      <w:r>
        <w:rPr>
          <w:lang w:val="pl-PL"/>
        </w:rPr>
        <w:t>8. Po zakończeniu świadczenia usług Wykonawca usuwa powierzone dane osobowe albo zwraca je Zamawiającemu, według wyboru Zamawiającego wskazanego na piśmie w terminie trzydziestu dni od dnia rozwiązania umowy. Brak wskazania uprawnia Wykonawcę do usunięcia danych.</w:t>
      </w:r>
    </w:p>
    <w:p>
      <w:r>
        <w:rPr>
          <w:lang w:val="pl-PL"/>
        </w:rPr>
        <w:t>9. Zamawiający uprawniony jest do przeprowadzenia audytu przetwarzania powierzonych danych nie częściej niż raz w roku kalendarzowym, po uprzednim zawiadomieniu Wykonawcy z wyprzedzeniem trzydziestu dni. Koszty audytu ponosi Zamawiający.</w:t>
      </w:r>
    </w:p>
    <w:sectPr w:rsidR="00FC693F" w:rsidRPr="0006063C" w:rsidSect="00034616">
      <w:pgSz w:w="12240" w:h="15840"/>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pl-PL" w:eastAsia="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jc w:val="both"/>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serwisowa</dc:title>
  <dc:creator>Dział prawny Nordvent</dc:creator>
  <cp:lastModifiedBy>Dział prawny Nordvent</cp:lastModifiedBy>
  <dcterms:created xsi:type="dcterms:W3CDTF">2026-07-01T08:00:00Z</dcterms:created>
  <dcterms:modified xsi:type="dcterms:W3CDTF">2026-07-01T08:00:00Z</dcterms:modified>
  <cp:revision>1</cp:revision>
</cp:coreProperties>
</file>