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w:rsidR="3A2FAA91" w:rsidP="3A2FAA91" w:rsidRDefault="3A2FAA91" w14:paraId="0BFFFBF5" w14:textId="5E02FEC1">
      <w:pPr>
        <w:pStyle w:val="Heading1"/>
      </w:pPr>
      <w:r w:rsidR="3A2FAA91">
        <w:rPr/>
        <w:t>Oferta handlowa: wdrożenie sklepu internetowego</w:t>
      </w:r>
    </w:p>
    <w:p w:rsidR="3A2FAA91" w:rsidP="3A2FAA91" w:rsidRDefault="3A2FAA91" w14:paraId="74B84C82" w14:textId="793A55FC">
      <w:pPr>
        <w:pStyle w:val="Normal"/>
      </w:pPr>
      <w:r w:rsidR="3A2FAA91">
        <w:rPr/>
        <w:t>Szanowni Państwo, dziękujemy za możliwość przedstawienia oferty na kompleksowe wdrożenie sklepu internetowego dla średniej firmy handlowej. Proponowane rozwiązanie obejmuje przygotowanie nowoczesnej platformy sprzedażowej, która usprawni obsługę zamówień, zintegruje sprzedaż online z procesami magazynowymi oraz zapewni klientom wygodną i bezpieczną ścieżkę zakupową.</w:t>
      </w:r>
    </w:p>
    <w:p w:rsidR="3A2FAA91" w:rsidP="3A2FAA91" w:rsidRDefault="3A2FAA91" w14:paraId="677F22C9" w14:textId="22E0CF2A">
      <w:pPr>
        <w:pStyle w:val="Heading2"/>
      </w:pPr>
      <w:r w:rsidR="3A2FAA91">
        <w:rPr/>
        <w:t>1. Cel projektu</w:t>
      </w:r>
    </w:p>
    <w:p w:rsidR="3A2FAA91" w:rsidP="3A2FAA91" w:rsidRDefault="3A2FAA91" w14:paraId="617E45F9" w14:textId="41C66D56">
      <w:pPr>
        <w:pStyle w:val="Normal"/>
      </w:pPr>
      <w:r w:rsidR="3A2FAA91">
        <w:rPr/>
        <w:t>Celem projektu jest uruchomienie skalowalnego sklepu internetowego, który będzie wspierał sprzedaż B2C i/lub B2B, umożliwi sprawną prezentację oferty produktowej, automatyzację procesu przyjmowania zamówień oraz integrację z kluczowymi systemami wykorzystywanymi w firmie. Sklep zostanie zaprojektowany z myślą o intuicyjnej obsłudze, bezpieczeństwie transakcji oraz możliwości dalszego rozwoju wraz ze wzrostem sprzedaży.</w:t>
      </w:r>
    </w:p>
    <w:p w:rsidR="3A2FAA91" w:rsidP="3A2FAA91" w:rsidRDefault="3A2FAA91" w14:paraId="3A5A50E2" w14:textId="3B3777EE">
      <w:pPr>
        <w:pStyle w:val="Heading2"/>
      </w:pPr>
      <w:r w:rsidR="3A2FAA91">
        <w:rPr/>
        <w:t>2. Zakres prac</w:t>
      </w:r>
    </w:p>
    <w:p w:rsidR="3A2FAA91" w:rsidP="3A2FAA91" w:rsidRDefault="3A2FAA91" w14:paraId="55C3CBF2" w14:textId="2C69BC96">
      <w:pPr>
        <w:pStyle w:val="ListParagraph"/>
        <w:numPr>
          <w:ilvl w:val="0"/>
          <w:numId w:val="1"/>
        </w:numPr>
        <w:rPr/>
      </w:pPr>
      <w:r w:rsidRPr="3A2FAA91" w:rsidR="3A2FAA91">
        <w:rPr>
          <w:b w:val="1"/>
          <w:bCs w:val="1"/>
        </w:rPr>
        <w:t>Analiza przedwdrożeniowa:</w:t>
      </w:r>
      <w:r w:rsidR="3A2FAA91">
        <w:rPr/>
        <w:t xml:space="preserve"> zebranie wymagań biznesowych, określenie struktury kategorii, procesów sprzedażowych, sposobu obsługi zamówień oraz wymagań integracyjnych.</w:t>
      </w:r>
    </w:p>
    <w:p w:rsidR="3A2FAA91" w:rsidP="3A2FAA91" w:rsidRDefault="3A2FAA91" w14:paraId="0661305F" w14:textId="58E3BD08">
      <w:pPr>
        <w:pStyle w:val="ListParagraph"/>
        <w:numPr>
          <w:ilvl w:val="0"/>
          <w:numId w:val="1"/>
        </w:numPr>
        <w:rPr/>
      </w:pPr>
      <w:r w:rsidRPr="3A2FAA91" w:rsidR="3A2FAA91">
        <w:rPr>
          <w:b w:val="1"/>
          <w:bCs w:val="1"/>
        </w:rPr>
        <w:t>Projekt UX:</w:t>
      </w:r>
      <w:r w:rsidR="3A2FAA91">
        <w:rPr/>
        <w:t xml:space="preserve"> przygotowanie architektury informacji, makiet kluczowych widoków, ścieżki zakupowej, karty produktu, koszyka oraz procesu finalizacji zamówienia.</w:t>
      </w:r>
    </w:p>
    <w:p w:rsidR="3A2FAA91" w:rsidP="3A2FAA91" w:rsidRDefault="3A2FAA91" w14:paraId="2535622F" w14:textId="40A54494">
      <w:pPr>
        <w:pStyle w:val="ListParagraph"/>
        <w:numPr>
          <w:ilvl w:val="0"/>
          <w:numId w:val="1"/>
        </w:numPr>
        <w:rPr/>
      </w:pPr>
      <w:r w:rsidRPr="3A2FAA91" w:rsidR="3A2FAA91">
        <w:rPr>
          <w:b w:val="1"/>
          <w:bCs w:val="1"/>
        </w:rPr>
        <w:t>Wdrożenie na platformie e-commerce:</w:t>
      </w:r>
      <w:r w:rsidR="3A2FAA91">
        <w:rPr/>
        <w:t xml:space="preserve"> konfiguracja sklepu, ustawienie podstawowych funkcji sprzedażowych, wdrożenie szablonu graficznego, konfiguracja produktów, kategorii, wariantów, metod dostawy i panelu administracyjnego.</w:t>
      </w:r>
    </w:p>
    <w:p w:rsidR="3A2FAA91" w:rsidP="3A2FAA91" w:rsidRDefault="3A2FAA91" w14:paraId="04D2FCED" w14:textId="0A4F8D30">
      <w:pPr>
        <w:pStyle w:val="ListParagraph"/>
        <w:numPr>
          <w:ilvl w:val="0"/>
          <w:numId w:val="1"/>
        </w:numPr>
        <w:rPr/>
      </w:pPr>
      <w:r w:rsidRPr="3A2FAA91" w:rsidR="3A2FAA91">
        <w:rPr>
          <w:b w:val="1"/>
          <w:bCs w:val="1"/>
        </w:rPr>
        <w:t>Integracja z systemem magazynowym:</w:t>
      </w:r>
      <w:r w:rsidR="3A2FAA91">
        <w:rPr/>
        <w:t xml:space="preserve"> synchronizacja stanów magazynowych, danych produktowych oraz obsługa aktualizacji dostępności produktów zgodnie z ustalonym zakresem technicznym.</w:t>
      </w:r>
    </w:p>
    <w:p w:rsidR="3A2FAA91" w:rsidP="3A2FAA91" w:rsidRDefault="3A2FAA91" w14:paraId="6BD65093" w14:textId="2987D811">
      <w:pPr>
        <w:pStyle w:val="ListParagraph"/>
        <w:numPr>
          <w:ilvl w:val="0"/>
          <w:numId w:val="1"/>
        </w:numPr>
        <w:rPr/>
      </w:pPr>
      <w:r w:rsidRPr="3A2FAA91" w:rsidR="3A2FAA91">
        <w:rPr>
          <w:b w:val="1"/>
          <w:bCs w:val="1"/>
        </w:rPr>
        <w:t>Integracja z bramką płatności:</w:t>
      </w:r>
      <w:r w:rsidR="3A2FAA91">
        <w:rPr/>
        <w:t xml:space="preserve"> konfiguracja wybranej bramki płatniczej, uruchomienie metod płatności zgodnych z potrzebami klienta oraz przeprowadzenie testów poprawności transakcji.</w:t>
      </w:r>
    </w:p>
    <w:p w:rsidR="3A2FAA91" w:rsidP="3A2FAA91" w:rsidRDefault="3A2FAA91" w14:paraId="7F27AB65" w14:textId="4C752533">
      <w:pPr>
        <w:pStyle w:val="ListParagraph"/>
        <w:numPr>
          <w:ilvl w:val="0"/>
          <w:numId w:val="1"/>
        </w:numPr>
        <w:rPr/>
      </w:pPr>
      <w:r w:rsidRPr="3A2FAA91" w:rsidR="3A2FAA91">
        <w:rPr>
          <w:b w:val="1"/>
          <w:bCs w:val="1"/>
        </w:rPr>
        <w:t>Testy i uruchomienie:</w:t>
      </w:r>
      <w:r w:rsidR="3A2FAA91">
        <w:rPr/>
        <w:t xml:space="preserve"> testy funkcjonalne, testy procesu zakupowego, weryfikacja integracji, poprawki przedprodukcyjne oraz publikacja sklepu w środowisku produkcyjnym.</w:t>
      </w:r>
    </w:p>
    <w:p w:rsidR="3A2FAA91" w:rsidP="3A2FAA91" w:rsidRDefault="3A2FAA91" w14:paraId="005E5ACC" w14:textId="19AA9FAE">
      <w:pPr>
        <w:pStyle w:val="ListParagraph"/>
        <w:numPr>
          <w:ilvl w:val="0"/>
          <w:numId w:val="1"/>
        </w:numPr>
        <w:rPr/>
      </w:pPr>
      <w:r w:rsidRPr="3A2FAA91" w:rsidR="3A2FAA91">
        <w:rPr>
          <w:b w:val="1"/>
          <w:bCs w:val="1"/>
        </w:rPr>
        <w:t>Szkolenie administratorów:</w:t>
      </w:r>
      <w:r w:rsidR="3A2FAA91">
        <w:rPr/>
        <w:t xml:space="preserve"> przekazanie wiedzy dotyczącej obsługi panelu, zarządzania produktami, zamówieniami, promocjami oraz podstawową konfiguracją sklepu.</w:t>
      </w:r>
    </w:p>
    <w:p w:rsidR="3A2FAA91" w:rsidP="3A2FAA91" w:rsidRDefault="3A2FAA91" w14:paraId="0DFFD0DD" w14:textId="7BDF30A4">
      <w:pPr>
        <w:pStyle w:val="Heading2"/>
      </w:pPr>
      <w:r w:rsidR="3A2FAA91">
        <w:rPr/>
        <w:t>3. Harmonogram realizacji</w:t>
      </w:r>
    </w:p>
    <w:tbl>
      <w:tblPr>
        <w:tblStyle w:val="GridTable4-Accent1"/>
        <w:tblW w:w="0" w:type="auto"/>
      </w:tblPr>
      <w:tblGrid>
        <w:gridCol w:w="3009"/>
        <w:gridCol w:w="3009"/>
        <w:gridCol w:w="3009"/>
      </w:tblGrid>
      <w:tr w:rsidR="3A2FAA91" w:rsidTr="3A2FAA91" w14:paraId="63FA3030">
        <w:tc>
          <w:tcPr>
            <w:tcW w:w="3009" w:type="dxa"/>
            <w:tcMar/>
          </w:tcPr>
          <w:p w:rsidR="3A2FAA91" w:rsidP="3A2FAA91" w:rsidRDefault="3A2FAA91" w14:paraId="581B4B91" w14:textId="3EDAA3F4">
            <w:pPr>
              <w:pStyle w:val="Normal"/>
            </w:pPr>
            <w:r w:rsidRPr="3A2FAA91" w:rsidR="3A2FAA91">
              <w:rPr>
                <w:b w:val="1"/>
                <w:bCs w:val="1"/>
              </w:rPr>
              <w:t>Etap</w:t>
            </w:r>
          </w:p>
        </w:tc>
        <w:tc>
          <w:tcPr>
            <w:tcW w:w="3009" w:type="dxa"/>
            <w:tcMar/>
          </w:tcPr>
          <w:p w:rsidR="3A2FAA91" w:rsidP="3A2FAA91" w:rsidRDefault="3A2FAA91" w14:paraId="1E11D733" w14:textId="5866A23F">
            <w:pPr>
              <w:pStyle w:val="Normal"/>
            </w:pPr>
            <w:r w:rsidRPr="3A2FAA91" w:rsidR="3A2FAA91">
              <w:rPr>
                <w:b w:val="1"/>
                <w:bCs w:val="1"/>
              </w:rPr>
              <w:t>Zakres</w:t>
            </w:r>
          </w:p>
        </w:tc>
        <w:tc>
          <w:tcPr>
            <w:tcW w:w="3009" w:type="dxa"/>
            <w:tcMar/>
          </w:tcPr>
          <w:p w:rsidR="3A2FAA91" w:rsidP="3A2FAA91" w:rsidRDefault="3A2FAA91" w14:paraId="5FC09E43" w14:textId="2820442F">
            <w:pPr>
              <w:pStyle w:val="Normal"/>
            </w:pPr>
            <w:r w:rsidRPr="3A2FAA91" w:rsidR="3A2FAA91">
              <w:rPr>
                <w:b w:val="1"/>
                <w:bCs w:val="1"/>
              </w:rPr>
              <w:t>Szacowany czas</w:t>
            </w:r>
          </w:p>
        </w:tc>
      </w:tr>
      <w:tr w:rsidR="3A2FAA91" w:rsidTr="3A2FAA91" w14:paraId="0AD08819">
        <w:tc>
          <w:tcPr>
            <w:tcW w:w="3009" w:type="dxa"/>
            <w:tcMar/>
          </w:tcPr>
          <w:p w:rsidR="3A2FAA91" w:rsidP="3A2FAA91" w:rsidRDefault="3A2FAA91" w14:paraId="66DDD974" w14:textId="35FE1D54">
            <w:pPr>
              <w:pStyle w:val="Normal"/>
            </w:pPr>
            <w:r w:rsidR="3A2FAA91">
              <w:rPr/>
              <w:t>Etap 1</w:t>
            </w:r>
          </w:p>
        </w:tc>
        <w:tc>
          <w:tcPr>
            <w:tcW w:w="3009" w:type="dxa"/>
            <w:tcMar/>
          </w:tcPr>
          <w:p w:rsidR="3A2FAA91" w:rsidP="3A2FAA91" w:rsidRDefault="3A2FAA91" w14:paraId="40C1867E" w14:textId="74EA58AC">
            <w:pPr>
              <w:pStyle w:val="Normal"/>
            </w:pPr>
            <w:r w:rsidR="3A2FAA91">
              <w:rPr/>
              <w:t>Analiza potrzeb, warsztat projektowy, doprecyzowanie zakresu i wymagań integracyjnych</w:t>
            </w:r>
          </w:p>
        </w:tc>
        <w:tc>
          <w:tcPr>
            <w:tcW w:w="3009" w:type="dxa"/>
            <w:tcMar/>
          </w:tcPr>
          <w:p w:rsidR="3A2FAA91" w:rsidP="3A2FAA91" w:rsidRDefault="3A2FAA91" w14:paraId="745FA31F" w14:textId="5FA1DD16">
            <w:pPr>
              <w:pStyle w:val="Normal"/>
            </w:pPr>
            <w:r w:rsidR="3A2FAA91">
              <w:rPr/>
              <w:t>1 tydzień</w:t>
            </w:r>
          </w:p>
        </w:tc>
      </w:tr>
      <w:tr w:rsidR="3A2FAA91" w:rsidTr="3A2FAA91" w14:paraId="766B676C">
        <w:tc>
          <w:tcPr>
            <w:tcW w:w="3009" w:type="dxa"/>
            <w:tcMar/>
          </w:tcPr>
          <w:p w:rsidR="3A2FAA91" w:rsidP="3A2FAA91" w:rsidRDefault="3A2FAA91" w14:paraId="1B1DE180" w14:textId="388EE682">
            <w:pPr>
              <w:pStyle w:val="Normal"/>
            </w:pPr>
            <w:r w:rsidR="3A2FAA91">
              <w:rPr/>
              <w:t>Etap 2</w:t>
            </w:r>
          </w:p>
        </w:tc>
        <w:tc>
          <w:tcPr>
            <w:tcW w:w="3009" w:type="dxa"/>
            <w:tcMar/>
          </w:tcPr>
          <w:p w:rsidR="3A2FAA91" w:rsidP="3A2FAA91" w:rsidRDefault="3A2FAA91" w14:paraId="5D5DCFDF" w14:textId="64FB74EC">
            <w:pPr>
              <w:pStyle w:val="Normal"/>
            </w:pPr>
            <w:r w:rsidR="3A2FAA91">
              <w:rPr/>
              <w:t>Projekt UX, makiety kluczowych ekranów i akceptacja kierunku funkcjonalnego</w:t>
            </w:r>
          </w:p>
        </w:tc>
        <w:tc>
          <w:tcPr>
            <w:tcW w:w="3009" w:type="dxa"/>
            <w:tcMar/>
          </w:tcPr>
          <w:p w:rsidR="3A2FAA91" w:rsidP="3A2FAA91" w:rsidRDefault="3A2FAA91" w14:paraId="57D1F5DC" w14:textId="6D258E96">
            <w:pPr>
              <w:pStyle w:val="Normal"/>
            </w:pPr>
            <w:r w:rsidR="3A2FAA91">
              <w:rPr/>
              <w:t>1–2 tygodnie</w:t>
            </w:r>
          </w:p>
        </w:tc>
      </w:tr>
      <w:tr w:rsidR="3A2FAA91" w:rsidTr="3A2FAA91" w14:paraId="32F83081">
        <w:tc>
          <w:tcPr>
            <w:tcW w:w="3009" w:type="dxa"/>
            <w:tcMar/>
          </w:tcPr>
          <w:p w:rsidR="3A2FAA91" w:rsidP="3A2FAA91" w:rsidRDefault="3A2FAA91" w14:paraId="034F8325" w14:textId="616ACB48">
            <w:pPr>
              <w:pStyle w:val="Normal"/>
            </w:pPr>
            <w:r w:rsidR="3A2FAA91">
              <w:rPr/>
              <w:t>Etap 3</w:t>
            </w:r>
          </w:p>
        </w:tc>
        <w:tc>
          <w:tcPr>
            <w:tcW w:w="3009" w:type="dxa"/>
            <w:tcMar/>
          </w:tcPr>
          <w:p w:rsidR="3A2FAA91" w:rsidP="3A2FAA91" w:rsidRDefault="3A2FAA91" w14:paraId="2F85CBD1" w14:textId="2AC4EDEE">
            <w:pPr>
              <w:pStyle w:val="Normal"/>
            </w:pPr>
            <w:r w:rsidR="3A2FAA91">
              <w:rPr/>
              <w:t>Konfiguracja platformy e-commerce, wdrożenie widoków i podstawowych funkcji sklepu</w:t>
            </w:r>
          </w:p>
        </w:tc>
        <w:tc>
          <w:tcPr>
            <w:tcW w:w="3009" w:type="dxa"/>
            <w:tcMar/>
          </w:tcPr>
          <w:p w:rsidR="3A2FAA91" w:rsidP="3A2FAA91" w:rsidRDefault="3A2FAA91" w14:paraId="43174642" w14:textId="25611AFD">
            <w:pPr>
              <w:pStyle w:val="Normal"/>
            </w:pPr>
            <w:r w:rsidR="3A2FAA91">
              <w:rPr/>
              <w:t>2–3 tygodnie</w:t>
            </w:r>
          </w:p>
        </w:tc>
      </w:tr>
      <w:tr w:rsidR="3A2FAA91" w:rsidTr="3A2FAA91" w14:paraId="4B014068">
        <w:tc>
          <w:tcPr>
            <w:tcW w:w="3009" w:type="dxa"/>
            <w:tcMar/>
          </w:tcPr>
          <w:p w:rsidR="3A2FAA91" w:rsidP="3A2FAA91" w:rsidRDefault="3A2FAA91" w14:paraId="051FFE0C" w14:textId="605411B2">
            <w:pPr>
              <w:pStyle w:val="Normal"/>
            </w:pPr>
            <w:r w:rsidR="3A2FAA91">
              <w:rPr/>
              <w:t>Etap 4</w:t>
            </w:r>
          </w:p>
        </w:tc>
        <w:tc>
          <w:tcPr>
            <w:tcW w:w="3009" w:type="dxa"/>
            <w:tcMar/>
          </w:tcPr>
          <w:p w:rsidR="3A2FAA91" w:rsidP="3A2FAA91" w:rsidRDefault="3A2FAA91" w14:paraId="14C7F457" w14:textId="4D5E0A7B">
            <w:pPr>
              <w:pStyle w:val="Normal"/>
            </w:pPr>
            <w:r w:rsidR="3A2FAA91">
              <w:rPr/>
              <w:t>Integracja z systemem magazynowym oraz bramką płatności</w:t>
            </w:r>
          </w:p>
        </w:tc>
        <w:tc>
          <w:tcPr>
            <w:tcW w:w="3009" w:type="dxa"/>
            <w:tcMar/>
          </w:tcPr>
          <w:p w:rsidR="3A2FAA91" w:rsidP="3A2FAA91" w:rsidRDefault="3A2FAA91" w14:paraId="2FB4B5BA" w14:textId="27B54424">
            <w:pPr>
              <w:pStyle w:val="Normal"/>
            </w:pPr>
            <w:r w:rsidR="3A2FAA91">
              <w:rPr/>
              <w:t>1–2 tygodnie</w:t>
            </w:r>
          </w:p>
        </w:tc>
      </w:tr>
      <w:tr w:rsidR="3A2FAA91" w:rsidTr="3A2FAA91" w14:paraId="72F3E62E">
        <w:tc>
          <w:tcPr>
            <w:tcW w:w="3009" w:type="dxa"/>
            <w:tcMar/>
          </w:tcPr>
          <w:p w:rsidR="3A2FAA91" w:rsidP="3A2FAA91" w:rsidRDefault="3A2FAA91" w14:paraId="4CBC1CFF" w14:textId="32FAC070">
            <w:pPr>
              <w:pStyle w:val="Normal"/>
            </w:pPr>
            <w:r w:rsidR="3A2FAA91">
              <w:rPr/>
              <w:t>Etap 5</w:t>
            </w:r>
          </w:p>
        </w:tc>
        <w:tc>
          <w:tcPr>
            <w:tcW w:w="3009" w:type="dxa"/>
            <w:tcMar/>
          </w:tcPr>
          <w:p w:rsidR="3A2FAA91" w:rsidP="3A2FAA91" w:rsidRDefault="3A2FAA91" w14:paraId="66876EE5" w14:textId="6B991429">
            <w:pPr>
              <w:pStyle w:val="Normal"/>
            </w:pPr>
            <w:r w:rsidR="3A2FAA91">
              <w:rPr/>
              <w:t>Testy, poprawki, szkolenie administratorów i uruchomienie produkcyjne</w:t>
            </w:r>
          </w:p>
        </w:tc>
        <w:tc>
          <w:tcPr>
            <w:tcW w:w="3009" w:type="dxa"/>
            <w:tcMar/>
          </w:tcPr>
          <w:p w:rsidR="3A2FAA91" w:rsidP="3A2FAA91" w:rsidRDefault="3A2FAA91" w14:paraId="712764C2" w14:textId="18699BCF">
            <w:pPr>
              <w:pStyle w:val="Normal"/>
            </w:pPr>
            <w:r w:rsidR="3A2FAA91">
              <w:rPr/>
              <w:t>1 tydzień</w:t>
            </w:r>
          </w:p>
        </w:tc>
      </w:tr>
    </w:tbl>
    <w:p w:rsidR="3A2FAA91" w:rsidP="3A2FAA91" w:rsidRDefault="3A2FAA91" w14:paraId="16300860" w14:textId="55EB1452">
      <w:pPr>
        <w:pStyle w:val="Normal"/>
      </w:pPr>
    </w:p>
    <w:p w:rsidR="3A2FAA91" w:rsidP="3A2FAA91" w:rsidRDefault="3A2FAA91" w14:paraId="05D0A5C1" w14:textId="1120934A">
      <w:pPr>
        <w:pStyle w:val="Normal"/>
      </w:pPr>
      <w:r w:rsidR="3A2FAA91">
        <w:rPr/>
        <w:t>Całkowity czas realizacji projektu szacujemy na 6–9 tygodni od momentu podpisania umowy, przekazania niezbędnych materiałów oraz potwierdzenia wymagań integracyjnych. Ostateczny harmonogram zostanie doprecyzowany po analizie technicznej systemu magazynowego i wybranej platformy e-commerce.</w:t>
      </w:r>
    </w:p>
    <w:p w:rsidR="3A2FAA91" w:rsidP="3A2FAA91" w:rsidRDefault="3A2FAA91" w14:paraId="4EAD61EC" w14:textId="4ABE77A8">
      <w:pPr>
        <w:pStyle w:val="Heading2"/>
      </w:pPr>
      <w:r w:rsidR="3A2FAA91">
        <w:rPr/>
        <w:t>4. Model rozliczenia</w:t>
      </w:r>
    </w:p>
    <w:p w:rsidR="3A2FAA91" w:rsidP="3A2FAA91" w:rsidRDefault="3A2FAA91" w14:paraId="52BA7C0A" w14:textId="10E790FF">
      <w:pPr>
        <w:pStyle w:val="Normal"/>
      </w:pPr>
      <w:r w:rsidR="3A2FAA91">
        <w:rPr/>
        <w:t>Proponujemy rozliczenie etapowe, powiązane z odbiorem kolejnych części projektu. Model ten zapewnia przejrzystość kosztów, kontrolę postępu prac oraz możliwość bieżącego zatwierdzania efektów przez klienta.</w:t>
      </w:r>
    </w:p>
    <w:p w:rsidR="3A2FAA91" w:rsidP="3A2FAA91" w:rsidRDefault="3A2FAA91" w14:paraId="3250A9D0" w14:textId="5EA2EA80">
      <w:pPr>
        <w:pStyle w:val="ListParagraph"/>
        <w:numPr>
          <w:ilvl w:val="0"/>
          <w:numId w:val="2"/>
        </w:numPr>
        <w:rPr/>
      </w:pPr>
      <w:r w:rsidRPr="3A2FAA91" w:rsidR="3A2FAA91">
        <w:rPr>
          <w:b w:val="1"/>
          <w:bCs w:val="1"/>
        </w:rPr>
        <w:t>30% wartości projektu</w:t>
      </w:r>
      <w:r w:rsidR="3A2FAA91">
        <w:rPr/>
        <w:t xml:space="preserve"> — płatne po podpisaniu umowy i rozpoczęciu prac analityczno-projektowych.</w:t>
      </w:r>
    </w:p>
    <w:p w:rsidR="3A2FAA91" w:rsidP="3A2FAA91" w:rsidRDefault="3A2FAA91" w14:paraId="7646F4B8" w14:textId="39FE2273">
      <w:pPr>
        <w:pStyle w:val="ListParagraph"/>
        <w:numPr>
          <w:ilvl w:val="0"/>
          <w:numId w:val="2"/>
        </w:numPr>
        <w:rPr/>
      </w:pPr>
      <w:r w:rsidRPr="3A2FAA91" w:rsidR="3A2FAA91">
        <w:rPr>
          <w:b w:val="1"/>
          <w:bCs w:val="1"/>
        </w:rPr>
        <w:t>40% wartości projektu</w:t>
      </w:r>
      <w:r w:rsidR="3A2FAA91">
        <w:rPr/>
        <w:t xml:space="preserve"> — płatne po akceptacji projektu UX i zakończeniu głównego etapu wdrożenia platformy.</w:t>
      </w:r>
    </w:p>
    <w:p w:rsidR="3A2FAA91" w:rsidP="3A2FAA91" w:rsidRDefault="3A2FAA91" w14:paraId="6F7B2204" w14:textId="7B266AE0">
      <w:pPr>
        <w:pStyle w:val="ListParagraph"/>
        <w:numPr>
          <w:ilvl w:val="0"/>
          <w:numId w:val="2"/>
        </w:numPr>
        <w:rPr/>
      </w:pPr>
      <w:r w:rsidRPr="3A2FAA91" w:rsidR="3A2FAA91">
        <w:rPr>
          <w:b w:val="1"/>
          <w:bCs w:val="1"/>
        </w:rPr>
        <w:t>30% wartości projektu</w:t>
      </w:r>
      <w:r w:rsidR="3A2FAA91">
        <w:rPr/>
        <w:t xml:space="preserve"> — płatne po zakończeniu testów, szkoleniu administratorów i uruchomieniu sklepu.</w:t>
      </w:r>
    </w:p>
    <w:p w:rsidR="3A2FAA91" w:rsidP="3A2FAA91" w:rsidRDefault="3A2FAA91" w14:paraId="7A056359" w14:textId="164B5E57">
      <w:pPr>
        <w:pStyle w:val="Normal"/>
      </w:pPr>
      <w:r w:rsidR="3A2FAA91">
        <w:rPr/>
        <w:t>Zakres cenowy zostanie przedstawiony po doprecyzowaniu liczby produktów, skali integracji, wymagań dotyczących wyglądu sklepu oraz zakresu migracji danych. Koszty zewnętrzne, takie jak abonament platformy, prowizje operatora płatności, hosting, certyfikaty, licencje dodatkowych modułów lub usługi zewnętrznych dostawców, nie są wliczone w wynagrodzenie za prace wdrożeniowe, chyba że strony ustalą inaczej.</w:t>
      </w:r>
    </w:p>
    <w:p w:rsidR="3A2FAA91" w:rsidP="3A2FAA91" w:rsidRDefault="3A2FAA91" w14:paraId="5EC64FBD" w14:textId="2C920278">
      <w:pPr>
        <w:pStyle w:val="Heading2"/>
      </w:pPr>
      <w:r w:rsidR="3A2FAA91">
        <w:rPr/>
        <w:t>5. Wsparcie powdrożeniowe</w:t>
      </w:r>
    </w:p>
    <w:p w:rsidR="3A2FAA91" w:rsidP="3A2FAA91" w:rsidRDefault="3A2FAA91" w14:paraId="6897A229" w14:textId="43E7305C">
      <w:pPr>
        <w:pStyle w:val="Normal"/>
      </w:pPr>
      <w:r w:rsidR="3A2FAA91">
        <w:rPr/>
        <w:t>Po uruchomieniu sklepu zapewniamy wsparcie powdrożeniowe obejmujące monitoring poprawności działania, usuwanie błędów ujawnionych po starcie, konsultacje administracyjne oraz rekomendacje dotyczące dalszego rozwoju platformy. Standardowy okres wsparcia wynosi 30 dni od uruchomienia produkcyjnego.</w:t>
      </w:r>
    </w:p>
    <w:p w:rsidR="3A2FAA91" w:rsidP="3A2FAA91" w:rsidRDefault="3A2FAA91" w14:paraId="05AD9CB1" w14:textId="05EC8E1C">
      <w:pPr>
        <w:pStyle w:val="ListParagraph"/>
        <w:numPr>
          <w:ilvl w:val="0"/>
          <w:numId w:val="3"/>
        </w:numPr>
        <w:rPr/>
      </w:pPr>
      <w:r w:rsidR="3A2FAA91">
        <w:rPr/>
        <w:t>Obsługa zgłoszeń dotyczących działania sklepu i procesu zakupowego.</w:t>
      </w:r>
    </w:p>
    <w:p w:rsidR="3A2FAA91" w:rsidP="3A2FAA91" w:rsidRDefault="3A2FAA91" w14:paraId="445BEBB9" w14:textId="3A6098D5">
      <w:pPr>
        <w:pStyle w:val="ListParagraph"/>
        <w:numPr>
          <w:ilvl w:val="0"/>
          <w:numId w:val="3"/>
        </w:numPr>
        <w:rPr/>
      </w:pPr>
      <w:r w:rsidR="3A2FAA91">
        <w:rPr/>
        <w:t>Wsparcie administratorów w pracy z panelem sklepu.</w:t>
      </w:r>
    </w:p>
    <w:p w:rsidR="3A2FAA91" w:rsidP="3A2FAA91" w:rsidRDefault="3A2FAA91" w14:paraId="322A7967" w14:textId="521E9F5D">
      <w:pPr>
        <w:pStyle w:val="ListParagraph"/>
        <w:numPr>
          <w:ilvl w:val="0"/>
          <w:numId w:val="3"/>
        </w:numPr>
        <w:rPr/>
      </w:pPr>
      <w:r w:rsidR="3A2FAA91">
        <w:rPr/>
        <w:t>Weryfikacja integracji z magazynem i płatnościami po pierwszych zamówieniach.</w:t>
      </w:r>
    </w:p>
    <w:p w:rsidR="3A2FAA91" w:rsidP="3A2FAA91" w:rsidRDefault="3A2FAA91" w14:paraId="11552624" w14:textId="2DB91CD4">
      <w:pPr>
        <w:pStyle w:val="ListParagraph"/>
        <w:numPr>
          <w:ilvl w:val="0"/>
          <w:numId w:val="3"/>
        </w:numPr>
        <w:rPr/>
      </w:pPr>
      <w:r w:rsidR="3A2FAA91">
        <w:rPr/>
        <w:t>Rekomendacje rozwojowe dotyczące optymalizacji UX, sprzedaży i automatyzacji procesów.</w:t>
      </w:r>
    </w:p>
    <w:p w:rsidR="3A2FAA91" w:rsidP="3A2FAA91" w:rsidRDefault="3A2FAA91" w14:paraId="77A24B63" w14:textId="4EB58A60">
      <w:pPr>
        <w:pStyle w:val="Heading2"/>
      </w:pPr>
      <w:r w:rsidR="3A2FAA91">
        <w:rPr/>
        <w:t>6. Podsumowanie</w:t>
      </w:r>
    </w:p>
    <w:p w:rsidR="3A2FAA91" w:rsidP="3A2FAA91" w:rsidRDefault="3A2FAA91" w14:paraId="2001247D" w14:textId="7A44DEAD">
      <w:pPr>
        <w:pStyle w:val="Normal"/>
      </w:pPr>
      <w:r w:rsidR="3A2FAA91">
        <w:rPr/>
        <w:t>Przedstawiona oferta zakłada kompleksową realizację sklepu internetowego — od analizy i projektu UX, przez wdrożenie platformy e-commerce, aż po integracje, testy, uruchomienie oraz wsparcie po starcie. Naszym celem jest dostarczenie rozwiązania, które będzie nie tylko estetyczne i wygodne dla klientów, ale przede wszystkim stabilne, skalowalne i dopasowane do procesów handlowych Państwa firmy.</w:t>
      </w:r>
    </w:p>
    <w:sectPr>
      <w:pgSz w:w="11906" w:h="16838"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3">
    <w:nsid w:val="37a27e0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
    <w:nsid w:val="14b868f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nsid w:val="7d7117a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4758681"/>
    <w:rsid w:val="24758681"/>
    <w:rsid w:val="26CD56F7"/>
    <w:rsid w:val="378526FA"/>
    <w:rsid w:val="3A2FAA91"/>
    <w:rsid w:val="5C8183C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1BB0B8"/>
  <w15:chartTrackingRefBased/>
  <w15:docId w15:val="{D2E702CB-3655-430F-BF62-C2872348BD7A}"/>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HAnsi" w:cstheme="minorBidi"/>
        <w:sz w:val="24"/>
        <w:szCs w:val="24"/>
        <w:lang w:val="pl-PL" w:eastAsia="en-US"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xmlns:w14="http://schemas.microsoft.com/office/word/2010/wordml" xmlns:mc="http://schemas.openxmlformats.org/markup-compatibility/2006" xmlns:w="http://schemas.openxmlformats.org/wordprocessingml/2006/main" w:type="character" w:styleId="Heading1Char" w:customStyle="1" mc:Ignorable="w14">
    <w:name xmlns:w="http://schemas.openxmlformats.org/wordprocessingml/2006/main" w:val="Heading 1 Char"/>
    <w:basedOn xmlns:w="http://schemas.openxmlformats.org/wordprocessingml/2006/main" w:val="DefaultParagraphFont"/>
    <w:link xmlns:w="http://schemas.openxmlformats.org/wordprocessingml/2006/main" w:val="Heading1"/>
    <w:uiPriority xmlns:w="http://schemas.openxmlformats.org/wordprocessingml/2006/main" w:val="9"/>
    <w:rPr xmlns:w="http://schemas.openxmlformats.org/wordprocessingml/2006/main">
      <w:rFonts w:asciiTheme="majorHAnsi" w:hAnsiTheme="majorHAnsi" w:eastAsiaTheme="majorEastAsia" w:cstheme="majorBidi"/>
      <w:color w:val="0F4761" w:themeColor="accent1" w:themeShade="BF"/>
      <w:sz w:val="40"/>
      <w:szCs w:val="40"/>
    </w:rPr>
  </w:style>
  <w:style xmlns:w14="http://schemas.microsoft.com/office/word/2010/wordml" xmlns:mc="http://schemas.openxmlformats.org/markup-compatibility/2006" xmlns:w="http://schemas.openxmlformats.org/wordprocessingml/2006/main" w:type="paragraph" w:styleId="Heading1" mc:Ignorable="w14">
    <w:name xmlns:w="http://schemas.openxmlformats.org/wordprocessingml/2006/main" w:val="heading 1"/>
    <w:basedOn xmlns:w="http://schemas.openxmlformats.org/wordprocessingml/2006/main" w:val="Normal"/>
    <w:next xmlns:w="http://schemas.openxmlformats.org/wordprocessingml/2006/main" w:val="Normal"/>
    <w:link xmlns:w="http://schemas.openxmlformats.org/wordprocessingml/2006/main" w:val="Heading1Char"/>
    <w:uiPriority xmlns:w="http://schemas.openxmlformats.org/wordprocessingml/2006/main" w:val="9"/>
    <w:qFormat xmlns:w="http://schemas.openxmlformats.org/wordprocessingml/2006/main"/>
    <w:pPr xmlns:w="http://schemas.openxmlformats.org/wordprocessingml/2006/main">
      <w:keepNext xmlns:w="http://schemas.openxmlformats.org/wordprocessingml/2006/main"/>
      <w:keepLines xmlns:w="http://schemas.openxmlformats.org/wordprocessingml/2006/main"/>
      <w:spacing xmlns:w="http://schemas.openxmlformats.org/wordprocessingml/2006/main" w:before="360" w:after="80"/>
      <w:outlineLvl xmlns:w="http://schemas.openxmlformats.org/wordprocessingml/2006/main" w:val="0"/>
    </w:pPr>
    <w:rPr xmlns:w="http://schemas.openxmlformats.org/wordprocessingml/2006/main">
      <w:rFonts w:asciiTheme="majorHAnsi" w:hAnsiTheme="majorHAnsi" w:eastAsiaTheme="majorEastAsia" w:cstheme="majorBidi"/>
      <w:color w:val="0F4761" w:themeColor="accent1" w:themeShade="BF"/>
      <w:sz w:val="40"/>
      <w:szCs w:val="40"/>
    </w:rPr>
  </w:style>
  <w:style xmlns:w14="http://schemas.microsoft.com/office/word/2010/wordml" xmlns:mc="http://schemas.openxmlformats.org/markup-compatibility/2006" xmlns:w="http://schemas.openxmlformats.org/wordprocessingml/2006/main" w:type="character" w:styleId="Heading2Char" w:customStyle="1" mc:Ignorable="w14">
    <w:name xmlns:w="http://schemas.openxmlformats.org/wordprocessingml/2006/main" w:val="Heading 2 Char"/>
    <w:basedOn xmlns:w="http://schemas.openxmlformats.org/wordprocessingml/2006/main" w:val="DefaultParagraphFont"/>
    <w:link xmlns:w="http://schemas.openxmlformats.org/wordprocessingml/2006/main" w:val="Heading2"/>
    <w:uiPriority xmlns:w="http://schemas.openxmlformats.org/wordprocessingml/2006/main" w:val="9"/>
    <w:rPr xmlns:w="http://schemas.openxmlformats.org/wordprocessingml/2006/main">
      <w:rFonts w:asciiTheme="majorHAnsi" w:hAnsiTheme="majorHAnsi" w:eastAsiaTheme="majorEastAsia" w:cstheme="majorBidi"/>
      <w:color w:val="0F4761" w:themeColor="accent1" w:themeShade="BF"/>
      <w:sz w:val="32"/>
      <w:szCs w:val="32"/>
    </w:rPr>
  </w:style>
  <w:style xmlns:w14="http://schemas.microsoft.com/office/word/2010/wordml" xmlns:mc="http://schemas.openxmlformats.org/markup-compatibility/2006" xmlns:w="http://schemas.openxmlformats.org/wordprocessingml/2006/main" w:type="paragraph" w:styleId="Heading2" mc:Ignorable="w14">
    <w:name xmlns:w="http://schemas.openxmlformats.org/wordprocessingml/2006/main" w:val="heading 2"/>
    <w:basedOn xmlns:w="http://schemas.openxmlformats.org/wordprocessingml/2006/main" w:val="Normal"/>
    <w:next xmlns:w="http://schemas.openxmlformats.org/wordprocessingml/2006/main" w:val="Normal"/>
    <w:link xmlns:w="http://schemas.openxmlformats.org/wordprocessingml/2006/main" w:val="Heading2Char"/>
    <w:uiPriority xmlns:w="http://schemas.openxmlformats.org/wordprocessingml/2006/main" w:val="9"/>
    <w:unhideWhenUsed xmlns:w="http://schemas.openxmlformats.org/wordprocessingml/2006/main"/>
    <w:qFormat xmlns:w="http://schemas.openxmlformats.org/wordprocessingml/2006/main"/>
    <w:pPr xmlns:w="http://schemas.openxmlformats.org/wordprocessingml/2006/main">
      <w:keepNext xmlns:w="http://schemas.openxmlformats.org/wordprocessingml/2006/main"/>
      <w:keepLines xmlns:w="http://schemas.openxmlformats.org/wordprocessingml/2006/main"/>
      <w:spacing xmlns:w="http://schemas.openxmlformats.org/wordprocessingml/2006/main" w:before="160" w:after="80"/>
      <w:outlineLvl xmlns:w="http://schemas.openxmlformats.org/wordprocessingml/2006/main" w:val="1"/>
    </w:pPr>
    <w:rPr xmlns:w="http://schemas.openxmlformats.org/wordprocessingml/2006/main">
      <w:rFonts w:asciiTheme="majorHAnsi" w:hAnsiTheme="majorHAnsi" w:eastAsiaTheme="majorEastAsia" w:cstheme="majorBidi"/>
      <w:color w:val="0F4761" w:themeColor="accent1" w:themeShade="BF"/>
      <w:sz w:val="32"/>
      <w:szCs w:val="32"/>
    </w:rPr>
  </w:style>
  <w:style xmlns:w14="http://schemas.microsoft.com/office/word/2010/wordml" xmlns:mc="http://schemas.openxmlformats.org/markup-compatibility/2006" xmlns:w="http://schemas.openxmlformats.org/wordprocessingml/2006/main" w:type="paragraph" w:styleId="ListParagraph" mc:Ignorable="w14">
    <w:name xmlns:w="http://schemas.openxmlformats.org/wordprocessingml/2006/main" w:val="List Paragraph"/>
    <w:basedOn xmlns:w="http://schemas.openxmlformats.org/wordprocessingml/2006/main" w:val="Normal"/>
    <w:uiPriority xmlns:w="http://schemas.openxmlformats.org/wordprocessingml/2006/main" w:val="34"/>
    <w:qFormat xmlns:w="http://schemas.openxmlformats.org/wordprocessingml/2006/main"/>
    <w:pPr xmlns:w="http://schemas.openxmlformats.org/wordprocessingml/2006/main">
      <w:ind xmlns:w="http://schemas.openxmlformats.org/wordprocessingml/2006/main" w:left="720"/>
      <w:contextualSpacing xmlns:w="http://schemas.openxmlformats.org/wordprocessingml/2006/main"/>
    </w:p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xmlns:w14="http://schemas.microsoft.com/office/word/2010/wordml" xmlns:mc="http://schemas.openxmlformats.org/markup-compatibility/2006" xmlns:w="http://schemas.openxmlformats.org/wordprocessingml/2006/main" w:type="table" w:styleId="GridTable4-Accent1" mc:Ignorable="w14">
    <w:name xmlns:w="http://schemas.openxmlformats.org/wordprocessingml/2006/main" w:val="Grid Table 4 Accent 1"/>
    <w:basedOn xmlns:w="http://schemas.openxmlformats.org/wordprocessingml/2006/main" w:val="TableNormal"/>
    <w:uiPriority xmlns:w="http://schemas.openxmlformats.org/wordprocessingml/2006/main" w:val="49"/>
    <w:pPr xmlns:w="http://schemas.openxmlformats.org/wordprocessingml/2006/main">
      <w:spacing xmlns:w="http://schemas.openxmlformats.org/wordprocessingml/2006/main" w:after="0" w:line="240" w:lineRule="auto"/>
    </w:pPr>
    <w:tblPr xmlns:w="http://schemas.openxmlformats.org/wordprocessingml/2006/main">
      <w:tblStyleRowBandSize w:val="1"/>
      <w:tblStyleColBandSize w:val="1"/>
      <w:tblInd w:w="0" w:type="dxa"/>
      <w:tblBorders>
        <w:top w:val="single" w:color="9CC2E5" w:themeColor="accent1" w:themeTint="99" w:sz="4" w:space="0"/>
        <w:left w:val="single" w:color="9CC2E5" w:themeColor="accent1" w:themeTint="99" w:sz="4" w:space="0"/>
        <w:bottom w:val="single" w:color="9CC2E5" w:themeColor="accent1" w:themeTint="99" w:sz="4" w:space="0"/>
        <w:right w:val="single" w:color="9CC2E5" w:themeColor="accent1" w:themeTint="99" w:sz="4" w:space="0"/>
        <w:insideH w:val="single" w:color="9CC2E5" w:themeColor="accent1" w:themeTint="99" w:sz="4" w:space="0"/>
        <w:insideV w:val="single" w:color="9CC2E5" w:themeColor="accent1" w:themeTint="99" w:sz="4" w:space="0"/>
      </w:tblBorders>
      <w:tblCellMar>
        <w:top w:w="0" w:type="dxa"/>
        <w:left w:w="108" w:type="dxa"/>
        <w:bottom w:w="0" w:type="dxa"/>
        <w:right w:w="108" w:type="dxa"/>
      </w:tblCellMar>
    </w:tblPr>
    <w:tblStylePr xmlns:w="http://schemas.openxmlformats.org/wordprocessingml/2006/main" w:type="firstRow">
      <w:rPr>
        <w:b/>
        <w:bCs/>
        <w:color w:val="FFFFFF" w:themeColor="background1"/>
      </w:rPr>
      <w:tblPr/>
      <w:tcPr>
        <w:tcBorders>
          <w:top w:val="single" w:color="5B9BD5" w:themeColor="accent1" w:sz="4" w:space="0"/>
          <w:left w:val="single" w:color="5B9BD5" w:themeColor="accent1" w:sz="4" w:space="0"/>
          <w:bottom w:val="single" w:color="5B9BD5" w:themeColor="accent1" w:sz="4" w:space="0"/>
          <w:right w:val="single" w:color="5B9BD5" w:themeColor="accent1" w:sz="4" w:space="0"/>
          <w:insideH w:val="nil"/>
          <w:insideV w:val="nil"/>
        </w:tcBorders>
        <w:shd w:val="clear" w:color="auto" w:fill="5B9BD5" w:themeFill="accent1"/>
      </w:tcPr>
    </w:tblStylePr>
    <w:tblStylePr xmlns:w="http://schemas.openxmlformats.org/wordprocessingml/2006/main" w:type="lastRow">
      <w:rPr>
        <w:b/>
        <w:bCs/>
      </w:rPr>
      <w:tblPr/>
      <w:tcPr>
        <w:tcBorders>
          <w:top w:val="double" w:color="5B9BD5" w:themeColor="accent1" w:sz="4" w:space="0"/>
        </w:tcBorders>
      </w:tcPr>
    </w:tblStylePr>
    <w:tblStylePr xmlns:w="http://schemas.openxmlformats.org/wordprocessingml/2006/main" w:type="firstCol">
      <w:rPr>
        <w:b/>
        <w:bCs/>
      </w:rPr>
    </w:tblStylePr>
    <w:tblStylePr xmlns:w="http://schemas.openxmlformats.org/wordprocessingml/2006/main" w:type="lastCol">
      <w:rPr>
        <w:b/>
        <w:bCs/>
      </w:rPr>
    </w:tblStylePr>
    <w:tblStylePr xmlns:w="http://schemas.openxmlformats.org/wordprocessingml/2006/main" w:type="band1Vert">
      <w:tblPr/>
      <w:tcPr>
        <w:shd w:val="clear" w:color="auto" w:fill="DEEAF6" w:themeFill="accent1" w:themeFillTint="33"/>
      </w:tcPr>
    </w:tblStylePr>
    <w:tblStylePr xmlns:w="http://schemas.openxmlformats.org/wordprocessingml/2006/main" w:type="band1Horz">
      <w:tblPr/>
      <w:tcPr>
        <w:shd w:val="clear" w:color="auto" w:fill="DEEAF6"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numbering" Target="numbering.xml" Id="Rf7a432723cad45f7"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Oferta wdrożenia sklepu internetowego</dc:title>
  <dc:creator>Dział handlowy Nordvent</dc:creator>
  <cp:lastModifiedBy>Dział handlowy Nordvent</cp:lastModifiedBy>
  <dcterms:created xsi:type="dcterms:W3CDTF">2026-08-11T09:30:00Z</dcterms:created>
  <dcterms:modified xsi:type="dcterms:W3CDTF">2026-08-11T09:30:00Z</dcterms:modified>
  <cp:revision>1</cp:revision>
</cp:coreProperties>
</file>