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02D33"/>
          <w:sz w:val="32"/>
        </w:rPr>
        <w:t>Raport sprzedaży - IV kwartał 2025</w:t>
      </w:r>
    </w:p>
    <w:p>
      <w:r>
        <w:t>Sklep Techniczny Nowak Sp. z o.o. | Dokument wewnętrzny | Przygotował: dział analiz</w:t>
      </w:r>
    </w:p>
    <w:p>
      <w:r>
        <w:rPr>
          <w:b/>
          <w:color w:val="E02D33"/>
          <w:sz w:val="30"/>
        </w:rPr>
        <w:t>1. Podsumowanie okresu</w:t>
      </w:r>
    </w:p>
    <w:p>
      <w:r>
        <w:t>W czwartym kwartale 2025 roku firma odnotowała przychód netto 2 290 000 zł, co oznacza wzrost o 18% względem trzeciego kwartału i o 24% rok do roku. Motorem wzrostu były kategorie Audio oraz Peryferia, które łącznie odpowiadały za 46% obrotu. Marża brutto utrzymała się na poziomie 27%, mimo presji cenowej w kategorii Komputery.</w:t>
      </w:r>
    </w:p>
    <w:p>
      <w:r>
        <w:rPr>
          <w:b/>
          <w:color w:val="E02D33"/>
          <w:sz w:val="30"/>
        </w:rPr>
        <w:t>2. Wyniki według kategorii</w:t>
      </w:r>
    </w:p>
    <w:p>
      <w:r>
        <w:t>Audio: sprzedaż 690 sztuk słuchawek Sony i 450 sztuk głośników JBL. Kategoria z najwyższą dynamiką (+26% kw/kw). Peryferia: klawiatury i myszy Logitech - stabilny wolumen, wysoka marża (34-38%). Komputery: laptopy Dell utrzymały wolumen, ale marża spadła do 12% przez rabaty. Podzespoły: dyski SSD Samsung zanotowały spadek do 96 sztuk w Q3 - warto sprawdzić dostępność u dostawcy.</w:t>
      </w:r>
    </w:p>
    <w:p>
      <w:r>
        <w:rPr>
          <w:b/>
          <w:color w:val="E02D33"/>
          <w:sz w:val="30"/>
        </w:rPr>
        <w:t>3. Ryzyka i obserwacje</w:t>
      </w:r>
    </w:p>
    <w:p>
      <w:r>
        <w:t>Głównym ryzykiem pozostaje zależność od jednego dostawcy podzespołów. Rekomendujemy dywersyfikację źródeł zaopatrzenia w pierwszym kwartale 2026. Drugim obszarem jest niska marża w kategorii Komputery - proponujemy przegląd polityki rabatowej. Trzecim - rosnący udział sprzedaży online (obecnie 38%), który wymaga inwestycji w logistykę.</w:t>
      </w:r>
    </w:p>
    <w:p>
      <w:r>
        <w:rPr>
          <w:b/>
          <w:color w:val="E02D33"/>
          <w:sz w:val="30"/>
        </w:rPr>
        <w:t>4. Rekomendacje na I kwartał 2026</w:t>
      </w:r>
    </w:p>
    <w:p>
      <w:r>
        <w:t>Zwiększyć zatowarowanie kategorii Audio przed sezonem. Renegocjować warunki z dostawcą podzespołów. Uruchomić program lojalnościowy dla klientów e-commerce. Cel przychodowy na I kwartał 2026: 2 400 000 zł netto.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